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8C1600" w:rsidRDefault="00453A95">
      <w:pPr>
        <w:rPr>
          <w:lang w:val="en-US"/>
        </w:rPr>
      </w:pPr>
    </w:p>
    <w:p w:rsidR="00000000" w:rsidRDefault="00453A95">
      <w:bookmarkStart w:id="0" w:name="toggle-share"/>
      <w:bookmarkEnd w:id="0"/>
    </w:p>
    <w:p w:rsidR="00000000" w:rsidRDefault="00453A95">
      <w:pPr>
        <w:sectPr w:rsidR="00000000">
          <w:pgSz w:w="11906" w:h="16838"/>
          <w:pgMar w:top="1134" w:right="1134" w:bottom="1134" w:left="1134" w:header="708" w:footer="708" w:gutter="0"/>
          <w:cols w:space="708"/>
        </w:sectPr>
      </w:pPr>
    </w:p>
    <w:p w:rsidR="00453A95" w:rsidRPr="00453A95" w:rsidRDefault="00453A95">
      <w:pPr>
        <w:pStyle w:val="Tekstpodstawowy"/>
        <w:rPr>
          <w:b/>
          <w:sz w:val="28"/>
          <w:szCs w:val="28"/>
          <w:lang w:val="en-US"/>
        </w:rPr>
      </w:pPr>
      <w:r>
        <w:rPr>
          <w:b/>
          <w:sz w:val="28"/>
          <w:szCs w:val="28"/>
          <w:lang w:val="en-US"/>
        </w:rPr>
        <w:lastRenderedPageBreak/>
        <w:t xml:space="preserve">                                   </w:t>
      </w:r>
      <w:r w:rsidRPr="00453A95">
        <w:rPr>
          <w:b/>
          <w:sz w:val="28"/>
          <w:szCs w:val="28"/>
          <w:lang w:val="en-US"/>
        </w:rPr>
        <w:t>Chain fountain</w:t>
      </w:r>
    </w:p>
    <w:p w:rsidR="00000000" w:rsidRPr="008C1600" w:rsidRDefault="00453A95">
      <w:pPr>
        <w:pStyle w:val="Tekstpodstawowy"/>
        <w:rPr>
          <w:sz w:val="28"/>
          <w:szCs w:val="28"/>
          <w:lang w:val="en-US"/>
        </w:rPr>
      </w:pPr>
      <w:r w:rsidRPr="008C1600">
        <w:rPr>
          <w:sz w:val="28"/>
          <w:szCs w:val="28"/>
          <w:lang w:val="en-US"/>
        </w:rPr>
        <w:t>Leaping up out of a jar in an arc before falling to the floor, the fountain-like motion of a chain of beads has puzzled millions around the world with its apparently gravity-defying behaviour. Now physicists think they have an explanation. And it is fa</w:t>
      </w:r>
      <w:r w:rsidRPr="008C1600">
        <w:rPr>
          <w:sz w:val="28"/>
          <w:szCs w:val="28"/>
          <w:lang w:val="en-US"/>
        </w:rPr>
        <w:t>r from intuitive.</w:t>
      </w:r>
    </w:p>
    <w:p w:rsidR="00000000" w:rsidRPr="008C1600" w:rsidRDefault="00453A95">
      <w:pPr>
        <w:pStyle w:val="Tekstpodstawowy"/>
        <w:rPr>
          <w:sz w:val="28"/>
          <w:szCs w:val="28"/>
          <w:lang w:val="en-US"/>
        </w:rPr>
      </w:pPr>
    </w:p>
    <w:p w:rsidR="00000000" w:rsidRPr="008C1600" w:rsidRDefault="00453A95">
      <w:pPr>
        <w:rPr>
          <w:lang w:val="en-US"/>
        </w:rPr>
        <w:sectPr w:rsidR="00000000" w:rsidRPr="008C1600">
          <w:type w:val="continuous"/>
          <w:pgSz w:w="11906" w:h="16838"/>
          <w:pgMar w:top="1134" w:right="1134" w:bottom="1134" w:left="1134" w:header="708" w:footer="708" w:gutter="0"/>
          <w:cols w:space="708"/>
        </w:sectPr>
      </w:pPr>
      <w:r>
        <w:rPr>
          <w:noProof/>
          <w:lang w:eastAsia="pl-PL" w:bidi="ar-SA"/>
        </w:rPr>
        <w:drawing>
          <wp:inline distT="0" distB="0" distL="0" distR="0">
            <wp:extent cx="5362575" cy="6886575"/>
            <wp:effectExtent l="19050" t="0" r="9525" b="0"/>
            <wp:docPr id="3" name="Obraz 1" descr="C:\Documents and Settings\user\Pulpit\eTwinning\Koraliki\Screenshot_2015-02-20-20-50-31-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ulpit\eTwinning\Koraliki\Screenshot_2015-02-20-20-50-31-crop.png"/>
                    <pic:cNvPicPr>
                      <a:picLocks noChangeAspect="1" noChangeArrowheads="1"/>
                    </pic:cNvPicPr>
                  </pic:nvPicPr>
                  <pic:blipFill>
                    <a:blip r:embed="rId5" cstate="print"/>
                    <a:srcRect/>
                    <a:stretch>
                      <a:fillRect/>
                    </a:stretch>
                  </pic:blipFill>
                  <pic:spPr bwMode="auto">
                    <a:xfrm>
                      <a:off x="0" y="0"/>
                      <a:ext cx="5362575" cy="6886575"/>
                    </a:xfrm>
                    <a:prstGeom prst="rect">
                      <a:avLst/>
                    </a:prstGeom>
                    <a:noFill/>
                    <a:ln w="9525">
                      <a:noFill/>
                      <a:miter lim="800000"/>
                      <a:headEnd/>
                      <a:tailEnd/>
                    </a:ln>
                  </pic:spPr>
                </pic:pic>
              </a:graphicData>
            </a:graphic>
          </wp:inline>
        </w:drawing>
      </w:r>
    </w:p>
    <w:p w:rsidR="00000000" w:rsidRDefault="00453A95">
      <w:pPr>
        <w:jc w:val="center"/>
        <w:rPr>
          <w:sz w:val="28"/>
          <w:szCs w:val="28"/>
        </w:rPr>
      </w:pPr>
      <w:r w:rsidRPr="008C1600">
        <w:rPr>
          <w:sz w:val="28"/>
          <w:szCs w:val="28"/>
          <w:lang w:val="en-US"/>
        </w:rPr>
        <w:lastRenderedPageBreak/>
        <w:tab/>
        <w:t xml:space="preserve">  </w:t>
      </w:r>
    </w:p>
    <w:p w:rsidR="00000000" w:rsidRDefault="00453A95">
      <w:pPr>
        <w:rPr>
          <w:sz w:val="28"/>
          <w:szCs w:val="28"/>
        </w:rPr>
      </w:pPr>
    </w:p>
    <w:p w:rsidR="009D4009" w:rsidRDefault="00453A95">
      <w:pPr>
        <w:rPr>
          <w:sz w:val="28"/>
          <w:szCs w:val="28"/>
          <w:lang w:val="en-US"/>
        </w:rPr>
      </w:pPr>
      <w:r w:rsidRPr="008C1600">
        <w:rPr>
          <w:sz w:val="28"/>
          <w:szCs w:val="28"/>
          <w:lang w:val="en-US"/>
        </w:rPr>
        <w:lastRenderedPageBreak/>
        <w:t xml:space="preserve">If a chain is initially at rest in a beaker at a height </w:t>
      </w:r>
      <w:r w:rsidRPr="008C1600">
        <w:rPr>
          <w:rStyle w:val="Uwydatnienie"/>
          <w:sz w:val="28"/>
          <w:szCs w:val="28"/>
          <w:lang w:val="en-US"/>
        </w:rPr>
        <w:t>h</w:t>
      </w:r>
      <w:r w:rsidRPr="008C1600">
        <w:rPr>
          <w:position w:val="-7"/>
          <w:sz w:val="28"/>
          <w:szCs w:val="28"/>
          <w:lang w:val="en-US"/>
        </w:rPr>
        <w:t>1</w:t>
      </w:r>
      <w:r w:rsidRPr="008C1600">
        <w:rPr>
          <w:sz w:val="28"/>
          <w:szCs w:val="28"/>
          <w:lang w:val="en-US"/>
        </w:rPr>
        <w:t xml:space="preserve"> above the ground, and the end of the chain is pulled over the rim of the beaker and down towards the ground and then released, the chain</w:t>
      </w:r>
      <w:r w:rsidRPr="008C1600">
        <w:rPr>
          <w:sz w:val="28"/>
          <w:szCs w:val="28"/>
          <w:lang w:val="en-US"/>
        </w:rPr>
        <w:t xml:space="preserve"> will spontaneously ‘flow’ out of the beaker under gravity. Furthermore, the beads do not simply drag over the edge of the beaker but form a fountain reaching a height </w:t>
      </w:r>
      <w:r w:rsidRPr="008C1600">
        <w:rPr>
          <w:rStyle w:val="Uwydatnienie"/>
          <w:sz w:val="28"/>
          <w:szCs w:val="28"/>
          <w:lang w:val="en-US"/>
        </w:rPr>
        <w:t>h</w:t>
      </w:r>
      <w:r w:rsidRPr="008C1600">
        <w:rPr>
          <w:position w:val="-7"/>
          <w:sz w:val="28"/>
          <w:szCs w:val="28"/>
          <w:lang w:val="en-US"/>
        </w:rPr>
        <w:t>2</w:t>
      </w:r>
      <w:r w:rsidRPr="008C1600">
        <w:rPr>
          <w:sz w:val="28"/>
          <w:szCs w:val="28"/>
          <w:lang w:val="en-US"/>
        </w:rPr>
        <w:t xml:space="preserve"> above it. </w:t>
      </w:r>
    </w:p>
    <w:p w:rsidR="00A457AB" w:rsidRDefault="00453A95">
      <w:pPr>
        <w:rPr>
          <w:sz w:val="28"/>
          <w:szCs w:val="28"/>
          <w:lang w:val="en-US"/>
        </w:rPr>
      </w:pPr>
      <w:r>
        <w:rPr>
          <w:noProof/>
          <w:sz w:val="28"/>
          <w:szCs w:val="28"/>
          <w:lang w:eastAsia="pl-PL" w:bidi="ar-SA"/>
        </w:rPr>
        <w:drawing>
          <wp:inline distT="0" distB="0" distL="0" distR="0">
            <wp:extent cx="3905250" cy="4191000"/>
            <wp:effectExtent l="19050" t="0" r="0" b="0"/>
            <wp:docPr id="2" name="Obraz 1" descr="http://d1czgh453hg3kg.cloudfront.net/content/royprsa/470/2163/20130689/F1.medium.gif">
              <a:hlinkClick xmlns:a="http://schemas.openxmlformats.org/drawingml/2006/main" r:id="rId6" tooltip="&quot;(a) Mould demonstrates a chain fountain. We thank J. Sanderson for permission to reproduce this photograph. (b) Our minimal model of a chain fountain. A chain, with mass per unit length λ, is in a pile on a flat table a distance h1 above the floor. It flows to the floor at a speed v along the sketched trajectory, with TT being the tension just above the table, TC the tension in the small curved section at the top of the fountain and TF the tension just above the flo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d1czgh453hg3kg.cloudfront.net/content/royprsa/470/2163/20130689/F1.medium.gif">
                      <a:hlinkClick r:id="rId6" tooltip="&quot;(a) Mould demonstrates a chain fountain. We thank J. Sanderson for permission to reproduce this photograph. (b) Our minimal model of a chain fountain. A chain, with mass per unit length λ, is in a pile on a flat table a distance h1 above the floor. It flows to the floor at a speed v along the sketched trajectory, with TT being the tension just above the table, TC the tension in the small curved section at the top of the fountain and TF the tension just above the floor.&quot;"/>
                    </pic:cNvPr>
                    <pic:cNvPicPr>
                      <a:picLocks noChangeAspect="1" noChangeArrowheads="1"/>
                    </pic:cNvPicPr>
                  </pic:nvPicPr>
                  <pic:blipFill>
                    <a:blip r:embed="rId7" cstate="print"/>
                    <a:srcRect/>
                    <a:stretch>
                      <a:fillRect/>
                    </a:stretch>
                  </pic:blipFill>
                  <pic:spPr bwMode="auto">
                    <a:xfrm>
                      <a:off x="0" y="0"/>
                      <a:ext cx="3905250" cy="4191000"/>
                    </a:xfrm>
                    <a:prstGeom prst="rect">
                      <a:avLst/>
                    </a:prstGeom>
                    <a:noFill/>
                    <a:ln w="9525">
                      <a:noFill/>
                      <a:miter lim="800000"/>
                      <a:headEnd/>
                      <a:tailEnd/>
                    </a:ln>
                  </pic:spPr>
                </pic:pic>
              </a:graphicData>
            </a:graphic>
          </wp:inline>
        </w:drawing>
      </w:r>
    </w:p>
    <w:p w:rsidR="00A457AB" w:rsidRDefault="00A457AB">
      <w:pPr>
        <w:rPr>
          <w:sz w:val="28"/>
          <w:szCs w:val="28"/>
          <w:lang w:val="en-US"/>
        </w:rPr>
      </w:pPr>
    </w:p>
    <w:p w:rsidR="00A457AB" w:rsidRPr="00A457AB" w:rsidRDefault="00A457AB" w:rsidP="00A457AB">
      <w:pPr>
        <w:spacing w:before="100" w:beforeAutospacing="1" w:after="100" w:afterAutospacing="1"/>
        <w:rPr>
          <w:rFonts w:eastAsia="Times New Roman" w:cs="Times New Roman"/>
          <w:lang w:val="en-US" w:eastAsia="pl-PL"/>
        </w:rPr>
      </w:pPr>
      <w:r w:rsidRPr="00A457AB">
        <w:rPr>
          <w:rFonts w:eastAsia="Times New Roman" w:cs="Times New Roman"/>
          <w:lang w:val="en-US" w:eastAsia="pl-PL"/>
        </w:rPr>
        <w:t xml:space="preserve">British science presenter Steve Mould, who made the experiment famous </w:t>
      </w:r>
      <w:hyperlink r:id="rId8" w:history="1">
        <w:r w:rsidRPr="00A457AB">
          <w:rPr>
            <w:rFonts w:eastAsia="Times New Roman" w:cs="Times New Roman"/>
            <w:color w:val="0000FF"/>
            <w:u w:val="single"/>
            <w:lang w:val="en-US" w:eastAsia="pl-PL"/>
          </w:rPr>
          <w:t>with a video that went viral</w:t>
        </w:r>
      </w:hyperlink>
      <w:r w:rsidRPr="00A457AB">
        <w:rPr>
          <w:rFonts w:eastAsia="Times New Roman" w:cs="Times New Roman"/>
          <w:lang w:val="en-US" w:eastAsia="pl-PL"/>
        </w:rPr>
        <w:t xml:space="preserve"> on the Internet, explained the phenomenon as simply one of inertia: the falling chain has downward momentum, causing an upward momentum in beads leaving the pot. This, in turn, makes them leap before gravity can slowly reverse their momentum.</w:t>
      </w:r>
    </w:p>
    <w:p w:rsidR="00A457AB" w:rsidRPr="001D1413" w:rsidRDefault="00A457AB" w:rsidP="00A457AB">
      <w:pPr>
        <w:spacing w:before="100" w:beforeAutospacing="1" w:after="100" w:afterAutospacing="1"/>
        <w:rPr>
          <w:rFonts w:eastAsia="Times New Roman" w:cs="Times New Roman"/>
          <w:lang w:val="en-US" w:eastAsia="pl-PL"/>
        </w:rPr>
      </w:pPr>
      <w:hyperlink r:id="rId9" w:history="1">
        <w:r w:rsidRPr="00A457AB">
          <w:rPr>
            <w:rFonts w:eastAsia="Times New Roman" w:cs="Times New Roman"/>
            <w:color w:val="0000FF"/>
            <w:u w:val="single"/>
            <w:lang w:val="en-US" w:eastAsia="pl-PL"/>
          </w:rPr>
          <w:t>Mould’s ex</w:t>
        </w:r>
        <w:r w:rsidRPr="00A457AB">
          <w:rPr>
            <w:rFonts w:eastAsia="Times New Roman" w:cs="Times New Roman"/>
            <w:color w:val="0000FF"/>
            <w:u w:val="single"/>
            <w:lang w:val="en-US" w:eastAsia="pl-PL"/>
          </w:rPr>
          <w:t>p</w:t>
        </w:r>
        <w:r w:rsidRPr="00A457AB">
          <w:rPr>
            <w:rFonts w:eastAsia="Times New Roman" w:cs="Times New Roman"/>
            <w:color w:val="0000FF"/>
            <w:u w:val="single"/>
            <w:lang w:val="en-US" w:eastAsia="pl-PL"/>
          </w:rPr>
          <w:t>lanation</w:t>
        </w:r>
      </w:hyperlink>
      <w:r w:rsidRPr="00A457AB">
        <w:rPr>
          <w:rFonts w:eastAsia="Times New Roman" w:cs="Times New Roman"/>
          <w:lang w:val="en-US" w:eastAsia="pl-PL"/>
        </w:rPr>
        <w:t xml:space="preserve"> was clever, but wrong, says physicist John Biggins of the University of Cambridge, UK. If inertia were causing the flowing fountain, the chain would be stationary at the top of the curve, says Biggins, in the same way that a ball tossed into the air is stationary at its highest point. “If that were true, it would mean the chain would pile up in the top region, which we don’t see,” he adds.</w:t>
      </w:r>
    </w:p>
    <w:p w:rsidR="00A457AB" w:rsidRDefault="00A457AB">
      <w:pPr>
        <w:rPr>
          <w:sz w:val="28"/>
          <w:szCs w:val="28"/>
          <w:lang w:val="en-US"/>
        </w:rPr>
      </w:pPr>
    </w:p>
    <w:p w:rsidR="00000000" w:rsidRPr="00A457AB" w:rsidRDefault="00453A95" w:rsidP="00A457AB">
      <w:pPr>
        <w:rPr>
          <w:sz w:val="28"/>
          <w:szCs w:val="28"/>
          <w:lang w:val="en-US"/>
        </w:rPr>
      </w:pPr>
      <w:r w:rsidRPr="00A457AB">
        <w:rPr>
          <w:sz w:val="28"/>
          <w:szCs w:val="28"/>
          <w:lang w:val="en-US"/>
        </w:rPr>
        <w:t>We show that the formation of a fountain requires that the beads</w:t>
      </w:r>
      <w:r w:rsidRPr="00A457AB">
        <w:rPr>
          <w:i/>
          <w:sz w:val="28"/>
          <w:szCs w:val="28"/>
          <w:lang w:val="en-US"/>
        </w:rPr>
        <w:t xml:space="preserve"> </w:t>
      </w:r>
      <w:r w:rsidRPr="00A457AB">
        <w:rPr>
          <w:sz w:val="28"/>
          <w:szCs w:val="28"/>
          <w:lang w:val="en-US"/>
        </w:rPr>
        <w:t xml:space="preserve">come into </w:t>
      </w:r>
      <w:r w:rsidRPr="00A457AB">
        <w:rPr>
          <w:sz w:val="28"/>
          <w:szCs w:val="28"/>
          <w:lang w:val="en-US"/>
        </w:rPr>
        <w:t xml:space="preserve">motion not only by being pulled upwards by the part of the chain immediately above the pile, but also by being pushed upwards by an anomalous reaction force from the pile of stationary chain. </w:t>
      </w:r>
    </w:p>
    <w:p w:rsidR="00000000" w:rsidRPr="008C1600" w:rsidRDefault="00453A95">
      <w:pPr>
        <w:rPr>
          <w:lang w:val="en-US"/>
        </w:rPr>
      </w:pPr>
      <w:r>
        <w:rPr>
          <w:noProof/>
          <w:lang w:eastAsia="pl-PL" w:bidi="ar-SA"/>
        </w:rPr>
        <w:lastRenderedPageBreak/>
        <w:drawing>
          <wp:anchor distT="0" distB="0" distL="0" distR="0" simplePos="0" relativeHeight="251657728" behindDoc="0" locked="0" layoutInCell="1" allowOverlap="1">
            <wp:simplePos x="0" y="0"/>
            <wp:positionH relativeFrom="column">
              <wp:posOffset>877570</wp:posOffset>
            </wp:positionH>
            <wp:positionV relativeFrom="paragraph">
              <wp:posOffset>323850</wp:posOffset>
            </wp:positionV>
            <wp:extent cx="4364990" cy="1466850"/>
            <wp:effectExtent l="19050" t="0" r="0" b="0"/>
            <wp:wrapTopAndBottom/>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64990" cy="1466850"/>
                    </a:xfrm>
                    <a:prstGeom prst="rect">
                      <a:avLst/>
                    </a:prstGeom>
                    <a:solidFill>
                      <a:srgbClr val="FFFFFF"/>
                    </a:solidFill>
                    <a:ln w="9525">
                      <a:noFill/>
                      <a:miter lim="800000"/>
                      <a:headEnd/>
                      <a:tailEnd/>
                    </a:ln>
                  </pic:spPr>
                </pic:pic>
              </a:graphicData>
            </a:graphic>
          </wp:anchor>
        </w:drawing>
      </w:r>
    </w:p>
    <w:p w:rsidR="00000000" w:rsidRPr="008C1600" w:rsidRDefault="00453A95">
      <w:pPr>
        <w:rPr>
          <w:lang w:val="en-US"/>
        </w:rPr>
      </w:pPr>
    </w:p>
    <w:p w:rsidR="00000000" w:rsidRPr="008C1600" w:rsidRDefault="00453A95">
      <w:pPr>
        <w:rPr>
          <w:sz w:val="28"/>
          <w:szCs w:val="28"/>
          <w:lang w:val="en-US"/>
        </w:rPr>
      </w:pPr>
      <w:r w:rsidRPr="008C1600">
        <w:rPr>
          <w:lang w:val="en-US"/>
        </w:rPr>
        <w:tab/>
      </w:r>
    </w:p>
    <w:p w:rsidR="00000000" w:rsidRPr="008C1600" w:rsidRDefault="00453A95">
      <w:pPr>
        <w:rPr>
          <w:sz w:val="28"/>
          <w:szCs w:val="28"/>
          <w:lang w:val="en-US"/>
        </w:rPr>
      </w:pPr>
      <w:r w:rsidRPr="008C1600">
        <w:rPr>
          <w:sz w:val="28"/>
          <w:szCs w:val="28"/>
          <w:lang w:val="en-US"/>
        </w:rPr>
        <w:tab/>
        <w:t xml:space="preserve">(a) A rigid rod of mass </w:t>
      </w:r>
      <w:r w:rsidRPr="008C1600">
        <w:rPr>
          <w:rStyle w:val="Uwydatnienie"/>
          <w:sz w:val="28"/>
          <w:szCs w:val="28"/>
          <w:lang w:val="en-US"/>
        </w:rPr>
        <w:t>m</w:t>
      </w:r>
      <w:r w:rsidRPr="008C1600">
        <w:rPr>
          <w:sz w:val="28"/>
          <w:szCs w:val="28"/>
          <w:lang w:val="en-US"/>
        </w:rPr>
        <w:t xml:space="preserve"> and moment of inertia </w:t>
      </w:r>
      <w:r w:rsidRPr="008C1600">
        <w:rPr>
          <w:rStyle w:val="Uwydatnienie"/>
          <w:sz w:val="28"/>
          <w:szCs w:val="28"/>
          <w:lang w:val="en-US"/>
        </w:rPr>
        <w:t>I</w:t>
      </w:r>
      <w:r w:rsidRPr="008C1600">
        <w:rPr>
          <w:sz w:val="28"/>
          <w:szCs w:val="28"/>
          <w:lang w:val="en-US"/>
        </w:rPr>
        <w:t xml:space="preserve"> lies on a horizontal surface (in practice the pile of chain) and is picked up via a ver</w:t>
      </w:r>
      <w:r w:rsidRPr="008C1600">
        <w:rPr>
          <w:sz w:val="28"/>
          <w:szCs w:val="28"/>
          <w:lang w:val="en-US"/>
        </w:rPr>
        <w:t xml:space="preserve">tical force </w:t>
      </w:r>
      <w:r w:rsidRPr="008C1600">
        <w:rPr>
          <w:rStyle w:val="Uwydatnienie"/>
          <w:sz w:val="28"/>
          <w:szCs w:val="28"/>
          <w:lang w:val="en-US"/>
        </w:rPr>
        <w:t>T</w:t>
      </w:r>
      <w:r w:rsidRPr="008C1600">
        <w:rPr>
          <w:position w:val="-7"/>
          <w:sz w:val="28"/>
          <w:szCs w:val="28"/>
          <w:lang w:val="en-US"/>
        </w:rPr>
        <w:t>T</w:t>
      </w:r>
      <w:r w:rsidRPr="008C1600">
        <w:rPr>
          <w:sz w:val="28"/>
          <w:szCs w:val="28"/>
          <w:lang w:val="en-US"/>
        </w:rPr>
        <w:t xml:space="preserve"> applied at one end causing the rod's centre of mass to rise at a speed </w:t>
      </w:r>
      <w:r w:rsidRPr="008C1600">
        <w:rPr>
          <w:rStyle w:val="Uwydatnienie"/>
          <w:sz w:val="28"/>
          <w:szCs w:val="28"/>
          <w:lang w:val="en-US"/>
        </w:rPr>
        <w:t>v</w:t>
      </w:r>
      <w:r w:rsidRPr="008C1600">
        <w:rPr>
          <w:sz w:val="28"/>
          <w:szCs w:val="28"/>
          <w:lang w:val="en-US"/>
        </w:rPr>
        <w:t xml:space="preserve">. In order for the rod not to penetrate the surface, the surface must also provide a vertical reaction force </w:t>
      </w:r>
      <w:r w:rsidRPr="008C1600">
        <w:rPr>
          <w:rStyle w:val="Uwydatnienie"/>
          <w:sz w:val="28"/>
          <w:szCs w:val="28"/>
          <w:lang w:val="en-US"/>
        </w:rPr>
        <w:t>R</w:t>
      </w:r>
      <w:r w:rsidRPr="008C1600">
        <w:rPr>
          <w:sz w:val="28"/>
          <w:szCs w:val="28"/>
          <w:lang w:val="en-US"/>
        </w:rPr>
        <w:t xml:space="preserve"> on the opposite end of the rod. (</w:t>
      </w:r>
      <w:r w:rsidRPr="008C1600">
        <w:rPr>
          <w:rStyle w:val="Uwydatnienie"/>
          <w:sz w:val="28"/>
          <w:szCs w:val="28"/>
          <w:lang w:val="en-US"/>
        </w:rPr>
        <w:t>b</w:t>
      </w:r>
      <w:r w:rsidRPr="008C1600">
        <w:rPr>
          <w:sz w:val="28"/>
          <w:szCs w:val="28"/>
          <w:lang w:val="en-US"/>
        </w:rPr>
        <w:t>,</w:t>
      </w:r>
      <w:r w:rsidRPr="008C1600">
        <w:rPr>
          <w:rStyle w:val="Uwydatnienie"/>
          <w:sz w:val="28"/>
          <w:szCs w:val="28"/>
          <w:lang w:val="en-US"/>
        </w:rPr>
        <w:t>c</w:t>
      </w:r>
      <w:r w:rsidRPr="008C1600">
        <w:rPr>
          <w:sz w:val="28"/>
          <w:szCs w:val="28"/>
          <w:lang w:val="en-US"/>
        </w:rPr>
        <w:t xml:space="preserve">) </w:t>
      </w:r>
      <w:r w:rsidRPr="008C1600">
        <w:rPr>
          <w:sz w:val="28"/>
          <w:szCs w:val="28"/>
          <w:lang w:val="en-US"/>
        </w:rPr>
        <w:tab/>
        <w:t xml:space="preserve"> </w:t>
      </w:r>
    </w:p>
    <w:p w:rsidR="00000000" w:rsidRPr="00BC59FE" w:rsidRDefault="00453A95">
      <w:pPr>
        <w:rPr>
          <w:sz w:val="28"/>
          <w:szCs w:val="28"/>
          <w:lang/>
        </w:rPr>
      </w:pPr>
      <w:r w:rsidRPr="008C1600">
        <w:rPr>
          <w:sz w:val="28"/>
          <w:szCs w:val="28"/>
          <w:lang w:val="en-US"/>
        </w:rPr>
        <w:tab/>
        <w:t>U</w:t>
      </w:r>
      <w:r>
        <w:rPr>
          <w:sz w:val="28"/>
          <w:szCs w:val="28"/>
          <w:lang/>
        </w:rPr>
        <w:t>nfort</w:t>
      </w:r>
      <w:r>
        <w:rPr>
          <w:sz w:val="28"/>
          <w:szCs w:val="28"/>
          <w:lang/>
        </w:rPr>
        <w:t>unately</w:t>
      </w:r>
      <w:r w:rsidRPr="008C1600">
        <w:rPr>
          <w:sz w:val="28"/>
          <w:szCs w:val="28"/>
          <w:lang w:val="en-US"/>
        </w:rPr>
        <w:t xml:space="preserve"> , this problem still has got lots of s</w:t>
      </w:r>
      <w:r w:rsidR="000869CC">
        <w:rPr>
          <w:sz w:val="28"/>
          <w:szCs w:val="28"/>
          <w:lang w:val="en-US"/>
        </w:rPr>
        <w:t>e</w:t>
      </w:r>
      <w:r w:rsidRPr="008C1600">
        <w:rPr>
          <w:sz w:val="28"/>
          <w:szCs w:val="28"/>
          <w:lang w:val="en-US"/>
        </w:rPr>
        <w:t>crets.</w:t>
      </w:r>
    </w:p>
    <w:p w:rsidR="00BC59FE" w:rsidRDefault="00BC59FE">
      <w:pPr>
        <w:rPr>
          <w:rStyle w:val="hps"/>
          <w:lang/>
        </w:rPr>
      </w:pPr>
    </w:p>
    <w:p w:rsidR="00BC59FE" w:rsidRDefault="00BC59FE">
      <w:pPr>
        <w:rPr>
          <w:rStyle w:val="hps"/>
          <w:lang/>
        </w:rPr>
      </w:pPr>
    </w:p>
    <w:p w:rsidR="00BC59FE" w:rsidRDefault="00BC59FE">
      <w:pPr>
        <w:rPr>
          <w:sz w:val="28"/>
          <w:szCs w:val="28"/>
          <w:lang w:val="en-US"/>
        </w:rPr>
      </w:pPr>
      <w:r>
        <w:rPr>
          <w:rStyle w:val="hps"/>
          <w:lang/>
        </w:rPr>
        <w:t>Full</w:t>
      </w:r>
      <w:r>
        <w:rPr>
          <w:rStyle w:val="shorttext"/>
          <w:lang/>
        </w:rPr>
        <w:t xml:space="preserve"> </w:t>
      </w:r>
      <w:r>
        <w:rPr>
          <w:rStyle w:val="hps"/>
          <w:lang/>
        </w:rPr>
        <w:t>explanation</w:t>
      </w:r>
    </w:p>
    <w:p w:rsidR="00BC59FE" w:rsidRPr="00BC59FE" w:rsidRDefault="00BC59FE" w:rsidP="00BC59FE">
      <w:pPr>
        <w:spacing w:before="100" w:beforeAutospacing="1" w:after="100" w:afterAutospacing="1"/>
        <w:outlineLvl w:val="0"/>
        <w:rPr>
          <w:rFonts w:eastAsia="Times New Roman" w:cs="Times New Roman"/>
          <w:b/>
          <w:bCs/>
          <w:kern w:val="36"/>
          <w:sz w:val="28"/>
          <w:szCs w:val="28"/>
          <w:lang w:val="en-US" w:eastAsia="pl-PL"/>
        </w:rPr>
      </w:pPr>
      <w:r w:rsidRPr="00BC59FE">
        <w:rPr>
          <w:rFonts w:eastAsia="Times New Roman" w:cs="Times New Roman"/>
          <w:b/>
          <w:bCs/>
          <w:kern w:val="36"/>
          <w:sz w:val="28"/>
          <w:szCs w:val="28"/>
          <w:lang w:val="en-US" w:eastAsia="pl-PL"/>
        </w:rPr>
        <w:t>Understanding the chain fountain</w:t>
      </w:r>
    </w:p>
    <w:p w:rsidR="00BC59FE" w:rsidRPr="00C63B62" w:rsidRDefault="00BC59FE" w:rsidP="00BC59FE">
      <w:pPr>
        <w:rPr>
          <w:rFonts w:eastAsia="Times New Roman" w:cs="Times New Roman"/>
          <w:lang w:val="en-US" w:eastAsia="pl-PL"/>
        </w:rPr>
      </w:pPr>
      <w:r w:rsidRPr="00C63B62">
        <w:rPr>
          <w:rFonts w:eastAsia="Times New Roman" w:cs="Times New Roman"/>
          <w:lang w:val="en-US" w:eastAsia="pl-PL"/>
        </w:rPr>
        <w:t xml:space="preserve">J. S. Biggins , M. Warner </w:t>
      </w:r>
    </w:p>
    <w:p w:rsidR="00BC59FE" w:rsidRDefault="00BC59FE" w:rsidP="00BC59FE">
      <w:pPr>
        <w:rPr>
          <w:rFonts w:eastAsia="Times New Roman" w:cs="Times New Roman"/>
          <w:lang w:eastAsia="pl-PL"/>
        </w:rPr>
      </w:pPr>
      <w:r w:rsidRPr="00C63B62">
        <w:rPr>
          <w:rFonts w:eastAsia="Times New Roman" w:cs="Times New Roman"/>
          <w:lang w:eastAsia="pl-PL"/>
        </w:rPr>
        <w:t xml:space="preserve">DOI: 10.1098/rspa.2013.0689 Published 15 January 2014 </w:t>
      </w:r>
    </w:p>
    <w:p w:rsidR="00453A95" w:rsidRDefault="00453A95" w:rsidP="00BC59FE">
      <w:pPr>
        <w:rPr>
          <w:rFonts w:eastAsia="Times New Roman" w:cs="Times New Roman"/>
          <w:lang w:eastAsia="pl-PL"/>
        </w:rPr>
      </w:pPr>
    </w:p>
    <w:p w:rsidR="00453A95" w:rsidRDefault="00453A95" w:rsidP="00BC59FE">
      <w:pPr>
        <w:rPr>
          <w:rFonts w:eastAsia="Times New Roman" w:cs="Times New Roman"/>
          <w:lang w:eastAsia="pl-PL"/>
        </w:rPr>
      </w:pPr>
      <w:hyperlink r:id="rId11" w:history="1">
        <w:r w:rsidRPr="005D2436">
          <w:rPr>
            <w:rStyle w:val="Hipercze"/>
            <w:rFonts w:eastAsia="Times New Roman" w:cs="Times New Roman"/>
            <w:lang w:val="pl-PL" w:eastAsia="pl-PL" w:bidi="hi-IN"/>
          </w:rPr>
          <w:t>http://rspa.royalsocietypublishing.org/content/470/2163/20130689.full.pdf+html</w:t>
        </w:r>
      </w:hyperlink>
    </w:p>
    <w:p w:rsidR="00453A95" w:rsidRDefault="00453A95" w:rsidP="00BC59FE">
      <w:pPr>
        <w:rPr>
          <w:rFonts w:eastAsia="Times New Roman" w:cs="Times New Roman"/>
          <w:lang w:eastAsia="pl-PL"/>
        </w:rPr>
      </w:pPr>
    </w:p>
    <w:p w:rsidR="00453A95" w:rsidRPr="00C63B62" w:rsidRDefault="00453A95" w:rsidP="00BC59FE">
      <w:pPr>
        <w:rPr>
          <w:rFonts w:eastAsia="Times New Roman" w:cs="Times New Roman"/>
          <w:lang w:eastAsia="pl-PL"/>
        </w:rPr>
      </w:pPr>
    </w:p>
    <w:p w:rsidR="00BC59FE" w:rsidRPr="00453A95" w:rsidRDefault="00BC59FE">
      <w:pPr>
        <w:rPr>
          <w:sz w:val="28"/>
          <w:szCs w:val="28"/>
        </w:rPr>
      </w:pPr>
    </w:p>
    <w:p w:rsidR="00BC59FE" w:rsidRPr="00453A95" w:rsidRDefault="00BC59FE">
      <w:pPr>
        <w:rPr>
          <w:sz w:val="28"/>
          <w:szCs w:val="28"/>
        </w:rPr>
      </w:pPr>
    </w:p>
    <w:p w:rsidR="00BC59FE" w:rsidRPr="00453A95" w:rsidRDefault="00BC59FE"/>
    <w:sectPr w:rsidR="00BC59FE" w:rsidRPr="00453A95">
      <w:type w:val="continuous"/>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78573D3"/>
    <w:multiLevelType w:val="hybridMultilevel"/>
    <w:tmpl w:val="CDEA2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C1600"/>
    <w:rsid w:val="000869CC"/>
    <w:rsid w:val="00453A95"/>
    <w:rsid w:val="008C1600"/>
    <w:rsid w:val="009D4009"/>
    <w:rsid w:val="00A457AB"/>
    <w:rsid w:val="00BC59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Arial"/>
      <w:kern w:val="1"/>
      <w:sz w:val="24"/>
      <w:szCs w:val="24"/>
      <w:lang w:eastAsia="hi-IN" w:bidi="hi-IN"/>
    </w:rPr>
  </w:style>
  <w:style w:type="paragraph" w:styleId="Nagwek1">
    <w:name w:val="heading 1"/>
    <w:basedOn w:val="Nagwek10"/>
    <w:next w:val="Tekstpodstawowy"/>
    <w:qFormat/>
    <w:pPr>
      <w:numPr>
        <w:numId w:val="1"/>
      </w:numPr>
      <w:outlineLvl w:val="0"/>
    </w:pPr>
    <w:rPr>
      <w:rFonts w:ascii="Times New Roman" w:hAnsi="Times New Roman"/>
      <w:b/>
      <w:bCs/>
      <w:sz w:val="48"/>
      <w:szCs w:val="48"/>
    </w:rPr>
  </w:style>
  <w:style w:type="paragraph" w:styleId="Nagwek2">
    <w:name w:val="heading 2"/>
    <w:basedOn w:val="Nagwek10"/>
    <w:next w:val="Tekstpodstawowy"/>
    <w:qFormat/>
    <w:pPr>
      <w:numPr>
        <w:ilvl w:val="1"/>
        <w:numId w:val="1"/>
      </w:numPr>
      <w:outlineLvl w:val="1"/>
    </w:pPr>
    <w:rPr>
      <w:rFonts w:ascii="Times New Roman" w:hAnsi="Times New Roman"/>
      <w:b/>
      <w:bCs/>
      <w:sz w:val="36"/>
      <w:szCs w:val="36"/>
    </w:rPr>
  </w:style>
  <w:style w:type="paragraph" w:styleId="Nagwek3">
    <w:name w:val="heading 3"/>
    <w:basedOn w:val="Nagwek10"/>
    <w:next w:val="Tekstpodstawowy"/>
    <w:qFormat/>
    <w:pPr>
      <w:numPr>
        <w:ilvl w:val="2"/>
        <w:numId w:val="1"/>
      </w:numPr>
      <w:outlineLvl w:val="2"/>
    </w:pPr>
    <w:rPr>
      <w:rFonts w:ascii="Times New Roman" w:hAnsi="Times New Roman"/>
      <w:b/>
      <w:bCs/>
    </w:rPr>
  </w:style>
  <w:style w:type="paragraph" w:styleId="Nagwek4">
    <w:name w:val="heading 4"/>
    <w:basedOn w:val="Nagwek10"/>
    <w:next w:val="Tekstpodstawowy"/>
    <w:qFormat/>
    <w:pPr>
      <w:numPr>
        <w:ilvl w:val="3"/>
        <w:numId w:val="1"/>
      </w:numPr>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iCs/>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80"/>
      <w:u w:val="single"/>
      <w:lang/>
    </w:rPr>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character" w:customStyle="1" w:styleId="shorttext">
    <w:name w:val="short_text"/>
    <w:basedOn w:val="Domylnaczcionkaakapitu"/>
    <w:rsid w:val="00BC59FE"/>
  </w:style>
  <w:style w:type="character" w:customStyle="1" w:styleId="hps">
    <w:name w:val="hps"/>
    <w:basedOn w:val="Domylnaczcionkaakapitu"/>
    <w:rsid w:val="00BC5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dQJBBklpQ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pa.royalsocietypublishing.org/content/royprsa/470/2163/20130689/F1.large.jpg?width=800&amp;height=600&amp;carousel=1" TargetMode="External"/><Relationship Id="rId11" Type="http://schemas.openxmlformats.org/officeDocument/2006/relationships/hyperlink" Target="http://rspa.royalsocietypublishing.org/content/470/2163/20130689.full.pdf+html"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youtu.be/6ukMId5fIi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Links>
    <vt:vector size="18" baseType="variant">
      <vt:variant>
        <vt:i4>7077937</vt:i4>
      </vt:variant>
      <vt:variant>
        <vt:i4>6</vt:i4>
      </vt:variant>
      <vt:variant>
        <vt:i4>0</vt:i4>
      </vt:variant>
      <vt:variant>
        <vt:i4>5</vt:i4>
      </vt:variant>
      <vt:variant>
        <vt:lpwstr>http://youtu.be/6ukMId5fIi0</vt:lpwstr>
      </vt:variant>
      <vt:variant>
        <vt:lpwstr/>
      </vt:variant>
      <vt:variant>
        <vt:i4>131126</vt:i4>
      </vt:variant>
      <vt:variant>
        <vt:i4>3</vt:i4>
      </vt:variant>
      <vt:variant>
        <vt:i4>0</vt:i4>
      </vt:variant>
      <vt:variant>
        <vt:i4>5</vt:i4>
      </vt:variant>
      <vt:variant>
        <vt:lpwstr>http://www.youtube.com/watch?v=_dQJBBklpQQ</vt:lpwstr>
      </vt:variant>
      <vt:variant>
        <vt:lpwstr/>
      </vt:variant>
      <vt:variant>
        <vt:i4>1769536</vt:i4>
      </vt:variant>
      <vt:variant>
        <vt:i4>0</vt:i4>
      </vt:variant>
      <vt:variant>
        <vt:i4>0</vt:i4>
      </vt:variant>
      <vt:variant>
        <vt:i4>5</vt:i4>
      </vt:variant>
      <vt:variant>
        <vt:lpwstr>http://rspa.royalsocietypublishing.org/content/royprsa/470/2163/20130689/F1.large.jpg?width=800&amp;height=600&amp;carousel=1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dc:creator>
  <cp:keywords/>
  <cp:lastModifiedBy>Zenia</cp:lastModifiedBy>
  <cp:revision>2</cp:revision>
  <cp:lastPrinted>1601-01-01T00:00:00Z</cp:lastPrinted>
  <dcterms:created xsi:type="dcterms:W3CDTF">2015-02-22T16:59:00Z</dcterms:created>
  <dcterms:modified xsi:type="dcterms:W3CDTF">2015-02-22T16:59:00Z</dcterms:modified>
</cp:coreProperties>
</file>