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68600" w14:textId="77777777" w:rsidR="00545B13" w:rsidRDefault="00545B13" w:rsidP="00545B13">
      <w:pPr>
        <w:pStyle w:val="Balk50"/>
        <w:keepNext/>
        <w:keepLines/>
        <w:shd w:val="clear" w:color="auto" w:fill="auto"/>
        <w:spacing w:before="0" w:after="542" w:line="260" w:lineRule="exact"/>
        <w:ind w:left="200"/>
        <w:rPr>
          <w:color w:val="000000"/>
          <w:lang w:val="en-US" w:bidi="en-US"/>
        </w:rPr>
      </w:pPr>
    </w:p>
    <w:p w14:paraId="58AB9128" w14:textId="77777777" w:rsidR="00545B13" w:rsidRDefault="00545B13" w:rsidP="00545B13">
      <w:pPr>
        <w:pStyle w:val="Balk50"/>
        <w:keepNext/>
        <w:keepLines/>
        <w:shd w:val="clear" w:color="auto" w:fill="auto"/>
        <w:spacing w:before="0" w:after="542" w:line="260" w:lineRule="exact"/>
        <w:ind w:left="200"/>
        <w:rPr>
          <w:color w:val="000000"/>
          <w:lang w:val="en-US" w:bidi="en-US"/>
        </w:rPr>
      </w:pPr>
    </w:p>
    <w:p w14:paraId="4FB1C87C" w14:textId="778F89EF" w:rsidR="00545B13" w:rsidRDefault="00545B13" w:rsidP="00545B13">
      <w:pPr>
        <w:pStyle w:val="Balk50"/>
        <w:keepNext/>
        <w:keepLines/>
        <w:shd w:val="clear" w:color="auto" w:fill="auto"/>
        <w:spacing w:before="0" w:after="542" w:line="260" w:lineRule="exact"/>
        <w:ind w:left="200"/>
      </w:pPr>
      <w:r>
        <w:rPr>
          <w:color w:val="000000"/>
          <w:lang w:val="en-US" w:bidi="en-US"/>
        </w:rPr>
        <w:t>LESSON THEME: WOMEN AND GENDER EQUALITY</w:t>
      </w:r>
    </w:p>
    <w:p w14:paraId="2F314F57" w14:textId="77777777" w:rsidR="00493861" w:rsidRPr="00493861" w:rsidRDefault="00493861" w:rsidP="00493861">
      <w:pPr>
        <w:rPr>
          <w:b/>
          <w:bCs/>
          <w:lang w:val="en-GB"/>
        </w:rPr>
      </w:pPr>
      <w:r w:rsidRPr="00493861">
        <w:rPr>
          <w:b/>
          <w:bCs/>
          <w:lang w:val="en-GB"/>
        </w:rPr>
        <w:t>Overview</w:t>
      </w:r>
    </w:p>
    <w:p w14:paraId="0335E3EF" w14:textId="2D8DECE2" w:rsidR="00F21579" w:rsidRDefault="00493861" w:rsidP="00493861">
      <w:pPr>
        <w:rPr>
          <w:lang w:val="en-GB"/>
        </w:rPr>
      </w:pPr>
      <w:r w:rsidRPr="00493861">
        <w:rPr>
          <w:lang w:val="en-GB"/>
        </w:rPr>
        <w:t>The achievement of the SDGs will be impossible without global gender equality. Conceptually, gender equality runs through all of the Goals but is enshrined in Goal 5. This lesson aims to increase students' awareness of gender inequality in New Zealand. Students will assess the status of New Zealand women in the past and consider how and where gender inequality continues to persist. Personal reflection will also be shared in the classroom to enhance students' awareness of the diverse array of backgrounds that students come from.</w:t>
      </w:r>
    </w:p>
    <w:p w14:paraId="04DBE026" w14:textId="77777777" w:rsidR="00493861" w:rsidRPr="00493861" w:rsidRDefault="00493861" w:rsidP="00493861">
      <w:pPr>
        <w:rPr>
          <w:b/>
          <w:bCs/>
          <w:lang w:val="en-GB"/>
        </w:rPr>
      </w:pPr>
      <w:r w:rsidRPr="00493861">
        <w:rPr>
          <w:b/>
          <w:bCs/>
          <w:lang w:val="en-GB"/>
        </w:rPr>
        <w:t>Relevant Goals</w:t>
      </w:r>
    </w:p>
    <w:p w14:paraId="0232D1B9" w14:textId="77777777" w:rsidR="00493861" w:rsidRPr="00493861" w:rsidRDefault="00493861" w:rsidP="00493861">
      <w:pPr>
        <w:rPr>
          <w:lang w:val="en-GB"/>
        </w:rPr>
      </w:pPr>
      <w:r w:rsidRPr="00493861">
        <w:rPr>
          <w:lang w:val="en-GB"/>
        </w:rPr>
        <w:t>Gender inequality links across all SDGs, but Goal 5: Gender inequality; Goal 10: Reduced inequalities; Goal 17: Peace, Justice and Institutions are particularly relevant.</w:t>
      </w:r>
    </w:p>
    <w:p w14:paraId="72A4575B" w14:textId="77777777" w:rsidR="00493861" w:rsidRPr="00493861" w:rsidRDefault="00493861" w:rsidP="00493861">
      <w:pPr>
        <w:rPr>
          <w:b/>
          <w:bCs/>
          <w:lang w:val="en-GB"/>
        </w:rPr>
      </w:pPr>
      <w:r w:rsidRPr="00493861">
        <w:rPr>
          <w:b/>
          <w:bCs/>
          <w:lang w:val="en-GB"/>
        </w:rPr>
        <w:t>Lesson Objectives</w:t>
      </w:r>
    </w:p>
    <w:p w14:paraId="25B84442" w14:textId="1354D56D" w:rsidR="00493861" w:rsidRPr="00493861" w:rsidRDefault="00493861" w:rsidP="00493861">
      <w:pPr>
        <w:rPr>
          <w:lang w:val="en-GB"/>
        </w:rPr>
      </w:pPr>
      <w:r w:rsidRPr="00493861">
        <w:rPr>
          <w:lang w:val="en-GB"/>
        </w:rPr>
        <w:t>1.Deepen students' knowledge about the evolution of the role of women in society</w:t>
      </w:r>
    </w:p>
    <w:p w14:paraId="291F6EAC" w14:textId="7E91A3C7" w:rsidR="00493861" w:rsidRPr="00493861" w:rsidRDefault="00493861" w:rsidP="00493861">
      <w:pPr>
        <w:rPr>
          <w:lang w:val="en-GB"/>
        </w:rPr>
      </w:pPr>
      <w:r w:rsidRPr="00493861">
        <w:rPr>
          <w:lang w:val="en-GB"/>
        </w:rPr>
        <w:t>2.Improve critical thinking by considering whether gender inequality continues to exist in New Zealand</w:t>
      </w:r>
    </w:p>
    <w:p w14:paraId="35E57608" w14:textId="695161E9" w:rsidR="00493861" w:rsidRPr="00493861" w:rsidRDefault="00493861" w:rsidP="00493861">
      <w:pPr>
        <w:rPr>
          <w:lang w:val="en-GB"/>
        </w:rPr>
      </w:pPr>
      <w:r w:rsidRPr="00493861">
        <w:rPr>
          <w:lang w:val="en-GB"/>
        </w:rPr>
        <w:t>3.Enhance students' personal understanding and awareness of diversity in the classroom</w:t>
      </w:r>
    </w:p>
    <w:p w14:paraId="3EEDD790" w14:textId="77777777" w:rsidR="00493861" w:rsidRPr="00493861" w:rsidRDefault="00493861" w:rsidP="00493861">
      <w:pPr>
        <w:rPr>
          <w:b/>
          <w:bCs/>
          <w:lang w:val="en-GB"/>
        </w:rPr>
      </w:pPr>
      <w:r w:rsidRPr="00493861">
        <w:rPr>
          <w:b/>
          <w:bCs/>
          <w:lang w:val="en-GB"/>
        </w:rPr>
        <w:t>Key Competencies</w:t>
      </w:r>
    </w:p>
    <w:p w14:paraId="248F4A48" w14:textId="5DADB45D" w:rsidR="00493861" w:rsidRDefault="00493861" w:rsidP="00493861">
      <w:pPr>
        <w:rPr>
          <w:lang w:val="en-GB"/>
        </w:rPr>
      </w:pPr>
      <w:r w:rsidRPr="00493861">
        <w:rPr>
          <w:lang w:val="en-GB"/>
        </w:rPr>
        <w:t>The activities in this lesson relate to at least one of the five Key Competencies that the New Zealand Curriculum aims to foster. The competencies that each activity relates to are indicated by icons beside the title of each lesson.</w:t>
      </w:r>
    </w:p>
    <w:p w14:paraId="6BED39FC" w14:textId="06D66F76" w:rsidR="00545B13" w:rsidRDefault="00545B13" w:rsidP="00493861">
      <w:pPr>
        <w:rPr>
          <w:lang w:val="en-GB"/>
        </w:rPr>
      </w:pPr>
    </w:p>
    <w:tbl>
      <w:tblPr>
        <w:tblW w:w="9139" w:type="dxa"/>
        <w:tblInd w:w="10" w:type="dxa"/>
        <w:tblLayout w:type="fixed"/>
        <w:tblCellMar>
          <w:left w:w="10" w:type="dxa"/>
          <w:right w:w="10" w:type="dxa"/>
        </w:tblCellMar>
        <w:tblLook w:val="04A0" w:firstRow="1" w:lastRow="0" w:firstColumn="1" w:lastColumn="0" w:noHBand="0" w:noVBand="1"/>
      </w:tblPr>
      <w:tblGrid>
        <w:gridCol w:w="4989"/>
        <w:gridCol w:w="4150"/>
      </w:tblGrid>
      <w:tr w:rsidR="00493861" w:rsidRPr="00493861" w14:paraId="4EF84DE8" w14:textId="77777777" w:rsidTr="00545B13">
        <w:tblPrEx>
          <w:tblCellMar>
            <w:top w:w="0" w:type="dxa"/>
            <w:bottom w:w="0" w:type="dxa"/>
          </w:tblCellMar>
        </w:tblPrEx>
        <w:trPr>
          <w:trHeight w:hRule="exact" w:val="515"/>
        </w:trPr>
        <w:tc>
          <w:tcPr>
            <w:tcW w:w="4989" w:type="dxa"/>
            <w:tcBorders>
              <w:top w:val="single" w:sz="4" w:space="0" w:color="auto"/>
              <w:left w:val="single" w:sz="4" w:space="0" w:color="auto"/>
            </w:tcBorders>
            <w:shd w:val="clear" w:color="auto" w:fill="FFFFFF"/>
            <w:vAlign w:val="center"/>
          </w:tcPr>
          <w:p w14:paraId="4B61172A" w14:textId="77777777" w:rsidR="00493861" w:rsidRPr="00493861" w:rsidRDefault="00493861" w:rsidP="00493861">
            <w:pPr>
              <w:widowControl w:val="0"/>
              <w:spacing w:after="0" w:line="210" w:lineRule="exact"/>
              <w:ind w:left="200"/>
              <w:rPr>
                <w:rFonts w:ascii="Arial Narrow" w:eastAsia="Arial Narrow" w:hAnsi="Arial Narrow" w:cs="Arial Narrow"/>
                <w:sz w:val="21"/>
                <w:szCs w:val="21"/>
                <w:lang w:val="en-US" w:bidi="en-US"/>
              </w:rPr>
            </w:pPr>
            <w:r w:rsidRPr="00493861">
              <w:rPr>
                <w:rFonts w:ascii="Arial Narrow" w:eastAsia="Arial Narrow" w:hAnsi="Arial Narrow" w:cs="Arial Narrow"/>
                <w:b/>
                <w:bCs/>
                <w:color w:val="000000"/>
                <w:sz w:val="21"/>
                <w:szCs w:val="21"/>
                <w:shd w:val="clear" w:color="auto" w:fill="FFFFFF"/>
                <w:lang w:val="en-US" w:bidi="en-US"/>
              </w:rPr>
              <w:t>Key competency</w:t>
            </w:r>
          </w:p>
        </w:tc>
        <w:tc>
          <w:tcPr>
            <w:tcW w:w="4150" w:type="dxa"/>
            <w:tcBorders>
              <w:top w:val="single" w:sz="4" w:space="0" w:color="auto"/>
              <w:left w:val="single" w:sz="4" w:space="0" w:color="auto"/>
              <w:right w:val="single" w:sz="4" w:space="0" w:color="auto"/>
            </w:tcBorders>
            <w:shd w:val="clear" w:color="auto" w:fill="FFFFFF"/>
            <w:vAlign w:val="center"/>
          </w:tcPr>
          <w:p w14:paraId="66C281BE" w14:textId="77777777" w:rsidR="00493861" w:rsidRPr="00493861" w:rsidRDefault="00493861" w:rsidP="00545B13">
            <w:pPr>
              <w:widowControl w:val="0"/>
              <w:spacing w:after="0" w:line="210" w:lineRule="exact"/>
              <w:ind w:left="400"/>
              <w:jc w:val="center"/>
              <w:rPr>
                <w:rFonts w:ascii="Arial Narrow" w:eastAsia="Arial Narrow" w:hAnsi="Arial Narrow" w:cs="Arial Narrow"/>
                <w:sz w:val="21"/>
                <w:szCs w:val="21"/>
                <w:lang w:val="en-US" w:bidi="en-US"/>
              </w:rPr>
            </w:pPr>
            <w:r w:rsidRPr="00493861">
              <w:rPr>
                <w:rFonts w:ascii="Arial Narrow" w:eastAsia="Arial Narrow" w:hAnsi="Arial Narrow" w:cs="Arial Narrow"/>
                <w:b/>
                <w:bCs/>
                <w:color w:val="000000"/>
                <w:sz w:val="21"/>
                <w:szCs w:val="21"/>
                <w:shd w:val="clear" w:color="auto" w:fill="FFFFFF"/>
                <w:lang w:val="en-US" w:bidi="en-US"/>
              </w:rPr>
              <w:t>Icon</w:t>
            </w:r>
          </w:p>
        </w:tc>
      </w:tr>
      <w:tr w:rsidR="00493861" w:rsidRPr="00493861" w14:paraId="401B743A" w14:textId="77777777" w:rsidTr="00545B13">
        <w:tblPrEx>
          <w:tblCellMar>
            <w:top w:w="0" w:type="dxa"/>
            <w:bottom w:w="0" w:type="dxa"/>
          </w:tblCellMar>
        </w:tblPrEx>
        <w:trPr>
          <w:trHeight w:hRule="exact" w:val="698"/>
        </w:trPr>
        <w:tc>
          <w:tcPr>
            <w:tcW w:w="4989" w:type="dxa"/>
            <w:tcBorders>
              <w:top w:val="single" w:sz="4" w:space="0" w:color="auto"/>
              <w:left w:val="single" w:sz="4" w:space="0" w:color="auto"/>
            </w:tcBorders>
            <w:shd w:val="clear" w:color="auto" w:fill="FFFFFF"/>
            <w:vAlign w:val="center"/>
          </w:tcPr>
          <w:p w14:paraId="26D1AF19" w14:textId="77777777" w:rsidR="00493861" w:rsidRPr="00493861" w:rsidRDefault="00493861" w:rsidP="00493861">
            <w:pPr>
              <w:widowControl w:val="0"/>
              <w:spacing w:after="0" w:line="210" w:lineRule="exact"/>
              <w:ind w:left="200"/>
              <w:rPr>
                <w:rFonts w:ascii="Arial Narrow" w:eastAsia="Arial Narrow" w:hAnsi="Arial Narrow" w:cs="Arial Narrow"/>
                <w:sz w:val="21"/>
                <w:szCs w:val="21"/>
                <w:lang w:val="en-US" w:bidi="en-US"/>
              </w:rPr>
            </w:pPr>
            <w:r w:rsidRPr="00493861">
              <w:rPr>
                <w:rFonts w:ascii="Arial Narrow" w:eastAsia="Arial Narrow" w:hAnsi="Arial Narrow" w:cs="Arial Narrow"/>
                <w:color w:val="000000"/>
                <w:sz w:val="21"/>
                <w:szCs w:val="21"/>
                <w:lang w:val="en-US" w:bidi="en-US"/>
              </w:rPr>
              <w:t>"Thinking" is indicated by:</w:t>
            </w:r>
          </w:p>
        </w:tc>
        <w:tc>
          <w:tcPr>
            <w:tcW w:w="4150" w:type="dxa"/>
            <w:tcBorders>
              <w:top w:val="single" w:sz="4" w:space="0" w:color="auto"/>
              <w:left w:val="single" w:sz="4" w:space="0" w:color="auto"/>
              <w:right w:val="single" w:sz="4" w:space="0" w:color="auto"/>
            </w:tcBorders>
            <w:shd w:val="clear" w:color="auto" w:fill="FFFFFF"/>
          </w:tcPr>
          <w:p w14:paraId="5537288C" w14:textId="188F0E4D" w:rsidR="00493861" w:rsidRPr="00493861" w:rsidRDefault="00493861" w:rsidP="00545B13">
            <w:pPr>
              <w:widowControl w:val="0"/>
              <w:spacing w:after="0" w:line="240" w:lineRule="auto"/>
              <w:jc w:val="center"/>
              <w:rPr>
                <w:rFonts w:ascii="Courier New" w:eastAsia="Courier New" w:hAnsi="Courier New" w:cs="Courier New"/>
                <w:color w:val="000000"/>
                <w:sz w:val="10"/>
                <w:szCs w:val="10"/>
                <w:lang w:val="en-US" w:bidi="en-US"/>
              </w:rPr>
            </w:pPr>
            <w:r>
              <w:rPr>
                <w:noProof/>
              </w:rPr>
              <w:drawing>
                <wp:anchor distT="0" distB="0" distL="114300" distR="114300" simplePos="0" relativeHeight="251658240" behindDoc="0" locked="0" layoutInCell="1" allowOverlap="1" wp14:anchorId="43245506" wp14:editId="1703DF34">
                  <wp:simplePos x="0" y="0"/>
                  <wp:positionH relativeFrom="column">
                    <wp:posOffset>1318260</wp:posOffset>
                  </wp:positionH>
                  <wp:positionV relativeFrom="paragraph">
                    <wp:posOffset>31750</wp:posOffset>
                  </wp:positionV>
                  <wp:extent cx="339101" cy="358140"/>
                  <wp:effectExtent l="0" t="0" r="3810" b="381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39101" cy="358140"/>
                          </a:xfrm>
                          <a:prstGeom prst="rect">
                            <a:avLst/>
                          </a:prstGeom>
                        </pic:spPr>
                      </pic:pic>
                    </a:graphicData>
                  </a:graphic>
                  <wp14:sizeRelH relativeFrom="page">
                    <wp14:pctWidth>0</wp14:pctWidth>
                  </wp14:sizeRelH>
                  <wp14:sizeRelV relativeFrom="page">
                    <wp14:pctHeight>0</wp14:pctHeight>
                  </wp14:sizeRelV>
                </wp:anchor>
              </w:drawing>
            </w:r>
          </w:p>
        </w:tc>
      </w:tr>
      <w:tr w:rsidR="00493861" w:rsidRPr="00493861" w14:paraId="4E4542D7" w14:textId="77777777" w:rsidTr="00545B13">
        <w:tblPrEx>
          <w:tblCellMar>
            <w:top w:w="0" w:type="dxa"/>
            <w:bottom w:w="0" w:type="dxa"/>
          </w:tblCellMar>
        </w:tblPrEx>
        <w:trPr>
          <w:trHeight w:hRule="exact" w:val="597"/>
        </w:trPr>
        <w:tc>
          <w:tcPr>
            <w:tcW w:w="4989" w:type="dxa"/>
            <w:tcBorders>
              <w:top w:val="single" w:sz="4" w:space="0" w:color="auto"/>
              <w:left w:val="single" w:sz="4" w:space="0" w:color="auto"/>
            </w:tcBorders>
            <w:shd w:val="clear" w:color="auto" w:fill="FFFFFF"/>
            <w:vAlign w:val="center"/>
          </w:tcPr>
          <w:p w14:paraId="7846A816" w14:textId="77777777" w:rsidR="00493861" w:rsidRPr="00493861" w:rsidRDefault="00493861" w:rsidP="00493861">
            <w:pPr>
              <w:widowControl w:val="0"/>
              <w:spacing w:after="0" w:line="210" w:lineRule="exact"/>
              <w:ind w:left="200"/>
              <w:rPr>
                <w:rFonts w:ascii="Arial Narrow" w:eastAsia="Arial Narrow" w:hAnsi="Arial Narrow" w:cs="Arial Narrow"/>
                <w:sz w:val="21"/>
                <w:szCs w:val="21"/>
                <w:lang w:val="en-US" w:bidi="en-US"/>
              </w:rPr>
            </w:pPr>
            <w:r w:rsidRPr="00493861">
              <w:rPr>
                <w:rFonts w:ascii="Arial Narrow" w:eastAsia="Arial Narrow" w:hAnsi="Arial Narrow" w:cs="Arial Narrow"/>
                <w:color w:val="000000"/>
                <w:sz w:val="21"/>
                <w:szCs w:val="21"/>
                <w:lang w:val="en-US" w:bidi="en-US"/>
              </w:rPr>
              <w:t>"Using language, symbols, and texts" is indicated by:</w:t>
            </w:r>
          </w:p>
        </w:tc>
        <w:tc>
          <w:tcPr>
            <w:tcW w:w="4150" w:type="dxa"/>
            <w:tcBorders>
              <w:top w:val="single" w:sz="4" w:space="0" w:color="auto"/>
              <w:left w:val="single" w:sz="4" w:space="0" w:color="auto"/>
              <w:right w:val="single" w:sz="4" w:space="0" w:color="auto"/>
            </w:tcBorders>
            <w:shd w:val="clear" w:color="auto" w:fill="FFFFFF"/>
            <w:vAlign w:val="center"/>
          </w:tcPr>
          <w:p w14:paraId="49AB5E16" w14:textId="443463C8" w:rsidR="00493861" w:rsidRPr="00493861" w:rsidRDefault="00493861" w:rsidP="00493861">
            <w:pPr>
              <w:widowControl w:val="0"/>
              <w:spacing w:after="0" w:line="340" w:lineRule="exact"/>
              <w:ind w:left="400"/>
              <w:rPr>
                <w:rFonts w:ascii="Arial Narrow" w:eastAsia="Arial Narrow" w:hAnsi="Arial Narrow" w:cs="Arial Narrow"/>
                <w:sz w:val="21"/>
                <w:szCs w:val="21"/>
                <w:lang w:val="en-US" w:bidi="en-US"/>
              </w:rPr>
            </w:pPr>
            <w:r>
              <w:rPr>
                <w:noProof/>
              </w:rPr>
              <w:drawing>
                <wp:anchor distT="0" distB="0" distL="114300" distR="114300" simplePos="0" relativeHeight="251659264" behindDoc="0" locked="0" layoutInCell="1" allowOverlap="1" wp14:anchorId="6CB6BFD0" wp14:editId="0243AE0A">
                  <wp:simplePos x="0" y="0"/>
                  <wp:positionH relativeFrom="column">
                    <wp:posOffset>1271270</wp:posOffset>
                  </wp:positionH>
                  <wp:positionV relativeFrom="paragraph">
                    <wp:posOffset>14605</wp:posOffset>
                  </wp:positionV>
                  <wp:extent cx="391795" cy="264795"/>
                  <wp:effectExtent l="0" t="0" r="8255" b="1905"/>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91795" cy="264795"/>
                          </a:xfrm>
                          <a:prstGeom prst="rect">
                            <a:avLst/>
                          </a:prstGeom>
                        </pic:spPr>
                      </pic:pic>
                    </a:graphicData>
                  </a:graphic>
                  <wp14:sizeRelH relativeFrom="page">
                    <wp14:pctWidth>0</wp14:pctWidth>
                  </wp14:sizeRelH>
                  <wp14:sizeRelV relativeFrom="page">
                    <wp14:pctHeight>0</wp14:pctHeight>
                  </wp14:sizeRelV>
                </wp:anchor>
              </w:drawing>
            </w:r>
          </w:p>
        </w:tc>
      </w:tr>
      <w:tr w:rsidR="00493861" w:rsidRPr="00493861" w14:paraId="718F866D" w14:textId="77777777" w:rsidTr="00545B13">
        <w:tblPrEx>
          <w:tblCellMar>
            <w:top w:w="0" w:type="dxa"/>
            <w:bottom w:w="0" w:type="dxa"/>
          </w:tblCellMar>
        </w:tblPrEx>
        <w:trPr>
          <w:trHeight w:hRule="exact" w:val="592"/>
        </w:trPr>
        <w:tc>
          <w:tcPr>
            <w:tcW w:w="4989" w:type="dxa"/>
            <w:tcBorders>
              <w:top w:val="single" w:sz="4" w:space="0" w:color="auto"/>
              <w:left w:val="single" w:sz="4" w:space="0" w:color="auto"/>
            </w:tcBorders>
            <w:shd w:val="clear" w:color="auto" w:fill="FFFFFF"/>
            <w:vAlign w:val="center"/>
          </w:tcPr>
          <w:p w14:paraId="52220B92" w14:textId="77777777" w:rsidR="00493861" w:rsidRPr="00493861" w:rsidRDefault="00493861" w:rsidP="00493861">
            <w:pPr>
              <w:widowControl w:val="0"/>
              <w:spacing w:after="0" w:line="210" w:lineRule="exact"/>
              <w:ind w:left="200"/>
              <w:rPr>
                <w:rFonts w:ascii="Arial Narrow" w:eastAsia="Arial Narrow" w:hAnsi="Arial Narrow" w:cs="Arial Narrow"/>
                <w:sz w:val="21"/>
                <w:szCs w:val="21"/>
                <w:lang w:val="en-US" w:bidi="en-US"/>
              </w:rPr>
            </w:pPr>
            <w:r w:rsidRPr="00493861">
              <w:rPr>
                <w:rFonts w:ascii="Arial Narrow" w:eastAsia="Arial Narrow" w:hAnsi="Arial Narrow" w:cs="Arial Narrow"/>
                <w:color w:val="000000"/>
                <w:sz w:val="21"/>
                <w:szCs w:val="21"/>
                <w:lang w:val="en-US" w:bidi="en-US"/>
              </w:rPr>
              <w:t>"Managing self" is indicated by:</w:t>
            </w:r>
          </w:p>
        </w:tc>
        <w:tc>
          <w:tcPr>
            <w:tcW w:w="4150" w:type="dxa"/>
            <w:tcBorders>
              <w:top w:val="single" w:sz="4" w:space="0" w:color="auto"/>
              <w:left w:val="single" w:sz="4" w:space="0" w:color="auto"/>
              <w:right w:val="single" w:sz="4" w:space="0" w:color="auto"/>
            </w:tcBorders>
            <w:shd w:val="clear" w:color="auto" w:fill="FFFFFF"/>
          </w:tcPr>
          <w:p w14:paraId="7F22B53B" w14:textId="69BF3F27" w:rsidR="00493861" w:rsidRPr="00493861" w:rsidRDefault="00493861" w:rsidP="00493861">
            <w:pPr>
              <w:widowControl w:val="0"/>
              <w:spacing w:after="0" w:line="240" w:lineRule="auto"/>
              <w:rPr>
                <w:rFonts w:ascii="Courier New" w:eastAsia="Courier New" w:hAnsi="Courier New" w:cs="Courier New"/>
                <w:color w:val="000000"/>
                <w:sz w:val="10"/>
                <w:szCs w:val="10"/>
                <w:lang w:val="en-US" w:bidi="en-US"/>
              </w:rPr>
            </w:pPr>
          </w:p>
        </w:tc>
      </w:tr>
      <w:tr w:rsidR="00493861" w:rsidRPr="00493861" w14:paraId="0E264D63" w14:textId="77777777" w:rsidTr="00545B13">
        <w:tblPrEx>
          <w:tblCellMar>
            <w:top w:w="0" w:type="dxa"/>
            <w:bottom w:w="0" w:type="dxa"/>
          </w:tblCellMar>
        </w:tblPrEx>
        <w:trPr>
          <w:trHeight w:hRule="exact" w:val="577"/>
        </w:trPr>
        <w:tc>
          <w:tcPr>
            <w:tcW w:w="4989" w:type="dxa"/>
            <w:tcBorders>
              <w:top w:val="single" w:sz="4" w:space="0" w:color="auto"/>
              <w:left w:val="single" w:sz="4" w:space="0" w:color="auto"/>
            </w:tcBorders>
            <w:shd w:val="clear" w:color="auto" w:fill="FFFFFF"/>
            <w:vAlign w:val="center"/>
          </w:tcPr>
          <w:p w14:paraId="2A24F651" w14:textId="77777777" w:rsidR="00493861" w:rsidRPr="00493861" w:rsidRDefault="00493861" w:rsidP="00493861">
            <w:pPr>
              <w:widowControl w:val="0"/>
              <w:spacing w:after="0" w:line="210" w:lineRule="exact"/>
              <w:ind w:left="200"/>
              <w:rPr>
                <w:rFonts w:ascii="Arial Narrow" w:eastAsia="Arial Narrow" w:hAnsi="Arial Narrow" w:cs="Arial Narrow"/>
                <w:sz w:val="21"/>
                <w:szCs w:val="21"/>
                <w:lang w:val="en-US" w:bidi="en-US"/>
              </w:rPr>
            </w:pPr>
            <w:r w:rsidRPr="00493861">
              <w:rPr>
                <w:rFonts w:ascii="Arial Narrow" w:eastAsia="Arial Narrow" w:hAnsi="Arial Narrow" w:cs="Arial Narrow"/>
                <w:color w:val="000000"/>
                <w:sz w:val="21"/>
                <w:szCs w:val="21"/>
                <w:lang w:val="en-US" w:bidi="en-US"/>
              </w:rPr>
              <w:t>"Relating to others" is indicated by:</w:t>
            </w:r>
          </w:p>
        </w:tc>
        <w:tc>
          <w:tcPr>
            <w:tcW w:w="4150" w:type="dxa"/>
            <w:tcBorders>
              <w:top w:val="single" w:sz="4" w:space="0" w:color="auto"/>
              <w:left w:val="single" w:sz="4" w:space="0" w:color="auto"/>
              <w:right w:val="single" w:sz="4" w:space="0" w:color="auto"/>
            </w:tcBorders>
            <w:shd w:val="clear" w:color="auto" w:fill="FFFFFF"/>
            <w:vAlign w:val="center"/>
          </w:tcPr>
          <w:p w14:paraId="670A387F" w14:textId="1B3DFF43" w:rsidR="00493861" w:rsidRPr="00493861" w:rsidRDefault="00493861" w:rsidP="00493861">
            <w:pPr>
              <w:widowControl w:val="0"/>
              <w:spacing w:after="0" w:line="264" w:lineRule="exact"/>
              <w:ind w:left="400"/>
              <w:rPr>
                <w:rFonts w:ascii="Arial Narrow" w:eastAsia="Arial Narrow" w:hAnsi="Arial Narrow" w:cs="Arial Narrow"/>
                <w:sz w:val="21"/>
                <w:szCs w:val="21"/>
                <w:lang w:val="en-US" w:bidi="en-US"/>
              </w:rPr>
            </w:pPr>
          </w:p>
        </w:tc>
      </w:tr>
      <w:tr w:rsidR="00493861" w:rsidRPr="00493861" w14:paraId="517AD200" w14:textId="77777777" w:rsidTr="00545B13">
        <w:tblPrEx>
          <w:tblCellMar>
            <w:top w:w="0" w:type="dxa"/>
            <w:bottom w:w="0" w:type="dxa"/>
          </w:tblCellMar>
        </w:tblPrEx>
        <w:trPr>
          <w:trHeight w:hRule="exact" w:val="558"/>
        </w:trPr>
        <w:tc>
          <w:tcPr>
            <w:tcW w:w="4989" w:type="dxa"/>
            <w:tcBorders>
              <w:top w:val="single" w:sz="4" w:space="0" w:color="auto"/>
              <w:left w:val="single" w:sz="4" w:space="0" w:color="auto"/>
              <w:bottom w:val="single" w:sz="4" w:space="0" w:color="auto"/>
            </w:tcBorders>
            <w:shd w:val="clear" w:color="auto" w:fill="FFFFFF"/>
            <w:vAlign w:val="center"/>
          </w:tcPr>
          <w:p w14:paraId="6E737BFF" w14:textId="77777777" w:rsidR="00493861" w:rsidRPr="00493861" w:rsidRDefault="00493861" w:rsidP="00493861">
            <w:pPr>
              <w:widowControl w:val="0"/>
              <w:spacing w:after="0" w:line="210" w:lineRule="exact"/>
              <w:ind w:left="200"/>
              <w:rPr>
                <w:rFonts w:ascii="Arial Narrow" w:eastAsia="Arial Narrow" w:hAnsi="Arial Narrow" w:cs="Arial Narrow"/>
                <w:sz w:val="21"/>
                <w:szCs w:val="21"/>
                <w:lang w:val="en-US" w:bidi="en-US"/>
              </w:rPr>
            </w:pPr>
            <w:r w:rsidRPr="00493861">
              <w:rPr>
                <w:rFonts w:ascii="Arial Narrow" w:eastAsia="Arial Narrow" w:hAnsi="Arial Narrow" w:cs="Arial Narrow"/>
                <w:color w:val="000000"/>
                <w:sz w:val="21"/>
                <w:szCs w:val="21"/>
                <w:lang w:val="en-US" w:bidi="en-US"/>
              </w:rPr>
              <w:t>"Participating and contributing" is indicated by:</w:t>
            </w:r>
          </w:p>
        </w:tc>
        <w:tc>
          <w:tcPr>
            <w:tcW w:w="4150" w:type="dxa"/>
            <w:tcBorders>
              <w:top w:val="single" w:sz="4" w:space="0" w:color="auto"/>
              <w:left w:val="single" w:sz="4" w:space="0" w:color="auto"/>
              <w:bottom w:val="single" w:sz="4" w:space="0" w:color="auto"/>
              <w:right w:val="single" w:sz="4" w:space="0" w:color="auto"/>
            </w:tcBorders>
            <w:shd w:val="clear" w:color="auto" w:fill="FFFFFF"/>
          </w:tcPr>
          <w:p w14:paraId="5F68C5D8" w14:textId="1FB50D85" w:rsidR="00493861" w:rsidRPr="00493861" w:rsidRDefault="00545B13" w:rsidP="00493861">
            <w:pPr>
              <w:widowControl w:val="0"/>
              <w:spacing w:after="0" w:line="240" w:lineRule="auto"/>
              <w:rPr>
                <w:rFonts w:ascii="Courier New" w:eastAsia="Courier New" w:hAnsi="Courier New" w:cs="Courier New"/>
                <w:color w:val="000000"/>
                <w:sz w:val="10"/>
                <w:szCs w:val="10"/>
                <w:lang w:val="en-US" w:bidi="en-US"/>
              </w:rPr>
            </w:pPr>
            <w:r>
              <w:rPr>
                <w:noProof/>
              </w:rPr>
              <w:drawing>
                <wp:anchor distT="0" distB="0" distL="114300" distR="114300" simplePos="0" relativeHeight="251661312" behindDoc="0" locked="0" layoutInCell="1" allowOverlap="1" wp14:anchorId="7B716E8F" wp14:editId="083F7B78">
                  <wp:simplePos x="0" y="0"/>
                  <wp:positionH relativeFrom="column">
                    <wp:posOffset>1339215</wp:posOffset>
                  </wp:positionH>
                  <wp:positionV relativeFrom="paragraph">
                    <wp:posOffset>-307340</wp:posOffset>
                  </wp:positionV>
                  <wp:extent cx="330835" cy="233045"/>
                  <wp:effectExtent l="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30835" cy="23304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04488D7F" wp14:editId="36F5A173">
                  <wp:simplePos x="0" y="0"/>
                  <wp:positionH relativeFrom="column">
                    <wp:posOffset>1263650</wp:posOffset>
                  </wp:positionH>
                  <wp:positionV relativeFrom="paragraph">
                    <wp:posOffset>-743585</wp:posOffset>
                  </wp:positionV>
                  <wp:extent cx="429260" cy="374650"/>
                  <wp:effectExtent l="0" t="0" r="8890" b="635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29260" cy="3746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14:anchorId="50AF29D2" wp14:editId="35707999">
                  <wp:simplePos x="0" y="0"/>
                  <wp:positionH relativeFrom="column">
                    <wp:posOffset>1274445</wp:posOffset>
                  </wp:positionH>
                  <wp:positionV relativeFrom="paragraph">
                    <wp:posOffset>3175</wp:posOffset>
                  </wp:positionV>
                  <wp:extent cx="500191" cy="320040"/>
                  <wp:effectExtent l="0" t="0" r="0" b="3810"/>
                  <wp:wrapNone/>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00191" cy="320040"/>
                          </a:xfrm>
                          <a:prstGeom prst="rect">
                            <a:avLst/>
                          </a:prstGeom>
                        </pic:spPr>
                      </pic:pic>
                    </a:graphicData>
                  </a:graphic>
                  <wp14:sizeRelH relativeFrom="page">
                    <wp14:pctWidth>0</wp14:pctWidth>
                  </wp14:sizeRelH>
                  <wp14:sizeRelV relativeFrom="page">
                    <wp14:pctHeight>0</wp14:pctHeight>
                  </wp14:sizeRelV>
                </wp:anchor>
              </w:drawing>
            </w:r>
          </w:p>
        </w:tc>
      </w:tr>
    </w:tbl>
    <w:p w14:paraId="0CA27A99" w14:textId="0209E644" w:rsidR="00493861" w:rsidRDefault="00493861" w:rsidP="00493861">
      <w:pPr>
        <w:rPr>
          <w:lang w:val="en-US"/>
        </w:rPr>
      </w:pPr>
    </w:p>
    <w:p w14:paraId="3CC2082D" w14:textId="77777777" w:rsidR="00545B13" w:rsidRDefault="00545B13" w:rsidP="00545B13">
      <w:pPr>
        <w:pStyle w:val="Gvdemetni50"/>
        <w:shd w:val="clear" w:color="auto" w:fill="auto"/>
        <w:spacing w:line="91" w:lineRule="exact"/>
        <w:jc w:val="center"/>
        <w:sectPr w:rsidR="00545B13" w:rsidSect="00545B13">
          <w:pgSz w:w="11909" w:h="16838"/>
          <w:pgMar w:top="210" w:right="1419" w:bottom="119" w:left="1828" w:header="0" w:footer="3" w:gutter="0"/>
          <w:cols w:space="720"/>
          <w:noEndnote/>
          <w:docGrid w:linePitch="360"/>
        </w:sectPr>
      </w:pPr>
      <w:r>
        <w:t>,</w:t>
      </w:r>
    </w:p>
    <w:p w14:paraId="7AC080C8" w14:textId="77777777" w:rsidR="00545B13" w:rsidRDefault="00545B13" w:rsidP="00545B13">
      <w:pPr>
        <w:pStyle w:val="Balk720"/>
        <w:keepNext/>
        <w:keepLines/>
        <w:shd w:val="clear" w:color="auto" w:fill="auto"/>
        <w:spacing w:before="0" w:after="24" w:line="230" w:lineRule="exact"/>
        <w:ind w:left="240" w:hanging="220"/>
      </w:pPr>
      <w:bookmarkStart w:id="0" w:name="bookmark8"/>
      <w:r>
        <w:rPr>
          <w:color w:val="000000"/>
          <w:lang w:val="en-US" w:bidi="en-US"/>
        </w:rPr>
        <w:lastRenderedPageBreak/>
        <w:t xml:space="preserve">Media analysis of women in New Zealand </w:t>
      </w:r>
      <w:r>
        <w:rPr>
          <w:rStyle w:val="Balk72105ptKalnDeil"/>
          <w:b/>
          <w:bCs/>
        </w:rPr>
        <w:t>145 minutes</w:t>
      </w:r>
      <w:bookmarkEnd w:id="0"/>
    </w:p>
    <w:p w14:paraId="46198213" w14:textId="77777777" w:rsidR="00545B13" w:rsidRDefault="00545B13" w:rsidP="00545B13">
      <w:pPr>
        <w:spacing w:after="120"/>
        <w:ind w:left="20" w:right="220"/>
      </w:pPr>
      <w:r>
        <w:rPr>
          <w:color w:val="000000"/>
          <w:lang w:val="en-US" w:bidi="en-US"/>
        </w:rPr>
        <w:t xml:space="preserve">The history of women in New Zealand is </w:t>
      </w:r>
      <w:proofErr w:type="spellStart"/>
      <w:r>
        <w:t>characterized</w:t>
      </w:r>
      <w:proofErr w:type="spellEnd"/>
      <w:r>
        <w:rPr>
          <w:color w:val="000000"/>
          <w:lang w:val="en-US" w:bidi="en-US"/>
        </w:rPr>
        <w:t xml:space="preserve"> by an on-going legacy of women's rights movements, but the equal representation and treatment of women in many domains has still not yet been reached. By learning about how the status of women has evolved over time, students will enhance their understanding of why equality between genders and social groups is important.</w:t>
      </w:r>
    </w:p>
    <w:p w14:paraId="5B9FF1D6" w14:textId="77777777" w:rsidR="00545B13" w:rsidRDefault="00545B13" w:rsidP="00545B13">
      <w:pPr>
        <w:spacing w:after="0"/>
        <w:ind w:left="20" w:right="220"/>
      </w:pPr>
      <w:r>
        <w:rPr>
          <w:color w:val="000000"/>
          <w:lang w:val="en-US" w:bidi="en-US"/>
        </w:rPr>
        <w:t xml:space="preserve">Links to a variety of resources which portray women in New Zealand are provided below. As a class, </w:t>
      </w:r>
      <w:r>
        <w:rPr>
          <w:rStyle w:val="GvdemetniKaln"/>
        </w:rPr>
        <w:t xml:space="preserve">watch and read some of the resources. </w:t>
      </w:r>
      <w:r>
        <w:rPr>
          <w:color w:val="000000"/>
          <w:lang w:val="en-US" w:bidi="en-US"/>
        </w:rPr>
        <w:t xml:space="preserve">Then, using examples from the resources, </w:t>
      </w:r>
      <w:r>
        <w:rPr>
          <w:rStyle w:val="GvdemetniKaln"/>
        </w:rPr>
        <w:t xml:space="preserve">discuss </w:t>
      </w:r>
      <w:r>
        <w:rPr>
          <w:color w:val="000000"/>
          <w:lang w:val="en-US" w:bidi="en-US"/>
        </w:rPr>
        <w:t>how the role of women in the past differed from the present. Ask the class:</w:t>
      </w:r>
    </w:p>
    <w:p w14:paraId="220D7DE7" w14:textId="77777777" w:rsidR="00545B13" w:rsidRDefault="00545B13" w:rsidP="00545B13">
      <w:pPr>
        <w:widowControl w:val="0"/>
        <w:numPr>
          <w:ilvl w:val="0"/>
          <w:numId w:val="1"/>
        </w:numPr>
        <w:spacing w:after="0" w:line="336" w:lineRule="exact"/>
        <w:ind w:left="240" w:hanging="220"/>
      </w:pPr>
      <w:r>
        <w:rPr>
          <w:color w:val="000000"/>
          <w:lang w:val="en-US" w:bidi="en-US"/>
        </w:rPr>
        <w:t xml:space="preserve"> How have expectations about women's work evolved over time?</w:t>
      </w:r>
    </w:p>
    <w:p w14:paraId="7AA3D49E" w14:textId="77777777" w:rsidR="00545B13" w:rsidRDefault="00545B13" w:rsidP="00545B13">
      <w:pPr>
        <w:widowControl w:val="0"/>
        <w:numPr>
          <w:ilvl w:val="0"/>
          <w:numId w:val="1"/>
        </w:numPr>
        <w:spacing w:after="0" w:line="336" w:lineRule="exact"/>
        <w:ind w:left="240" w:hanging="220"/>
      </w:pPr>
      <w:r>
        <w:rPr>
          <w:color w:val="000000"/>
          <w:lang w:val="en-US" w:bidi="en-US"/>
        </w:rPr>
        <w:t xml:space="preserve"> How has the participation of women in politics evolved over time?</w:t>
      </w:r>
    </w:p>
    <w:p w14:paraId="7A209919" w14:textId="77777777" w:rsidR="00545B13" w:rsidRDefault="00545B13" w:rsidP="00545B13">
      <w:pPr>
        <w:widowControl w:val="0"/>
        <w:numPr>
          <w:ilvl w:val="0"/>
          <w:numId w:val="1"/>
        </w:numPr>
        <w:spacing w:after="166" w:line="336" w:lineRule="exact"/>
        <w:ind w:left="240" w:hanging="220"/>
      </w:pPr>
      <w:r>
        <w:rPr>
          <w:color w:val="000000"/>
          <w:lang w:val="en-US" w:bidi="en-US"/>
        </w:rPr>
        <w:t xml:space="preserve"> What challenges remain towards the equal treatment of women in New Zealand society?</w:t>
      </w:r>
    </w:p>
    <w:p w14:paraId="4F9E3CE8" w14:textId="77777777" w:rsidR="00545B13" w:rsidRDefault="00545B13" w:rsidP="00545B13">
      <w:pPr>
        <w:spacing w:after="120"/>
        <w:ind w:left="20" w:right="220"/>
      </w:pPr>
      <w:r>
        <w:rPr>
          <w:color w:val="000000"/>
          <w:lang w:val="en-US" w:bidi="en-US"/>
        </w:rPr>
        <w:t xml:space="preserve">Next, in pairs have students </w:t>
      </w:r>
      <w:r>
        <w:rPr>
          <w:rStyle w:val="GvdemetniKaln"/>
        </w:rPr>
        <w:t xml:space="preserve">create a timeline </w:t>
      </w:r>
      <w:r>
        <w:rPr>
          <w:color w:val="000000"/>
          <w:lang w:val="en-US" w:bidi="en-US"/>
        </w:rPr>
        <w:t xml:space="preserve">on a piece of paper. Using the </w:t>
      </w:r>
      <w:proofErr w:type="gramStart"/>
      <w:r>
        <w:rPr>
          <w:color w:val="000000"/>
          <w:lang w:val="en-US" w:bidi="en-US"/>
        </w:rPr>
        <w:t>resources</w:t>
      </w:r>
      <w:proofErr w:type="gramEnd"/>
      <w:r>
        <w:rPr>
          <w:color w:val="000000"/>
          <w:lang w:val="en-US" w:bidi="en-US"/>
        </w:rPr>
        <w:t xml:space="preserve"> they have explored, can they make an approximate timeline of key moments in the history of women's rights? Extend the timeline into the future, and have students add when they would like to see current issues resolved or eliminated (such as equal pay or equal representation on company boards, </w:t>
      </w:r>
      <w:proofErr w:type="spellStart"/>
      <w:r>
        <w:rPr>
          <w:color w:val="000000"/>
          <w:lang w:val="en-US" w:bidi="en-US"/>
        </w:rPr>
        <w:t>etc</w:t>
      </w:r>
      <w:proofErr w:type="spellEnd"/>
      <w:r>
        <w:rPr>
          <w:color w:val="000000"/>
          <w:lang w:val="en-US" w:bidi="en-US"/>
        </w:rPr>
        <w:t>).</w:t>
      </w:r>
    </w:p>
    <w:p w14:paraId="04936E9F" w14:textId="77777777" w:rsidR="00545B13" w:rsidRDefault="00545B13" w:rsidP="00545B13">
      <w:pPr>
        <w:spacing w:after="74"/>
        <w:ind w:left="20" w:right="220"/>
      </w:pPr>
      <w:r>
        <w:rPr>
          <w:rStyle w:val="Gvdemetnitalik"/>
        </w:rPr>
        <w:t>Recommended:</w:t>
      </w:r>
      <w:r>
        <w:rPr>
          <w:color w:val="000000"/>
          <w:lang w:val="en-US" w:bidi="en-US"/>
        </w:rPr>
        <w:t xml:space="preserve"> The National Library's collection on Women in Aotearoa, "Nothing Venture, Nothing Gain", and "Women in the House" are particularly insightful resources.</w:t>
      </w:r>
    </w:p>
    <w:p w14:paraId="2707712D" w14:textId="77777777" w:rsidR="00545B13" w:rsidRDefault="00545B13" w:rsidP="00545B13">
      <w:pPr>
        <w:pStyle w:val="Gvdemetni130"/>
        <w:shd w:val="clear" w:color="auto" w:fill="auto"/>
        <w:spacing w:line="336" w:lineRule="exact"/>
        <w:ind w:left="240"/>
      </w:pPr>
      <w:bookmarkStart w:id="1" w:name="bookmark9"/>
      <w:r>
        <w:rPr>
          <w:color w:val="000000"/>
          <w:lang w:val="en-US" w:bidi="en-US"/>
        </w:rPr>
        <w:t>Resources:</w:t>
      </w:r>
      <w:bookmarkEnd w:id="1"/>
    </w:p>
    <w:p w14:paraId="638D93A7" w14:textId="77777777" w:rsidR="00545B13" w:rsidRDefault="00545B13" w:rsidP="00545B13">
      <w:pPr>
        <w:widowControl w:val="0"/>
        <w:numPr>
          <w:ilvl w:val="0"/>
          <w:numId w:val="1"/>
        </w:numPr>
        <w:spacing w:after="0" w:line="336" w:lineRule="exact"/>
        <w:ind w:left="240" w:hanging="220"/>
      </w:pPr>
      <w:r w:rsidRPr="00545B13">
        <w:rPr>
          <w:color w:val="000000"/>
          <w:lang w:bidi="en-US"/>
        </w:rPr>
        <w:t xml:space="preserve"> </w:t>
      </w:r>
      <w:hyperlink r:id="rId10" w:history="1">
        <w:r>
          <w:rPr>
            <w:rStyle w:val="Kpr"/>
          </w:rPr>
          <w:t>https://teara.govt.nz/en/womens-movement/page-1</w:t>
        </w:r>
      </w:hyperlink>
    </w:p>
    <w:p w14:paraId="4966525F" w14:textId="77777777" w:rsidR="00545B13" w:rsidRDefault="00545B13" w:rsidP="00545B13">
      <w:pPr>
        <w:widowControl w:val="0"/>
        <w:numPr>
          <w:ilvl w:val="0"/>
          <w:numId w:val="1"/>
        </w:numPr>
        <w:spacing w:after="0" w:line="336" w:lineRule="exact"/>
        <w:ind w:left="240" w:hanging="220"/>
      </w:pPr>
      <w:r w:rsidRPr="00545B13">
        <w:rPr>
          <w:color w:val="000000"/>
          <w:lang w:bidi="en-US"/>
        </w:rPr>
        <w:t xml:space="preserve"> </w:t>
      </w:r>
      <w:hyperlink r:id="rId11" w:history="1">
        <w:r>
          <w:rPr>
            <w:rStyle w:val="Kpr"/>
          </w:rPr>
          <w:t>https://teara.govt.nz/en/womens-movement/page-6</w:t>
        </w:r>
      </w:hyperlink>
    </w:p>
    <w:p w14:paraId="7572E525" w14:textId="77777777" w:rsidR="00545B13" w:rsidRDefault="00545B13" w:rsidP="00545B13">
      <w:pPr>
        <w:widowControl w:val="0"/>
        <w:numPr>
          <w:ilvl w:val="0"/>
          <w:numId w:val="1"/>
        </w:numPr>
        <w:spacing w:after="0" w:line="278" w:lineRule="exact"/>
        <w:ind w:left="240" w:right="220" w:hanging="220"/>
      </w:pPr>
      <w:r w:rsidRPr="00545B13">
        <w:rPr>
          <w:color w:val="000000"/>
          <w:lang w:bidi="en-US"/>
        </w:rPr>
        <w:t xml:space="preserve"> </w:t>
      </w:r>
      <w:r>
        <w:rPr>
          <w:color w:val="000000"/>
          <w:lang w:val="en-US" w:bidi="en-US"/>
        </w:rPr>
        <w:t xml:space="preserve">National Library's collection on Women in Aotearoa: </w:t>
      </w:r>
      <w:hyperlink r:id="rId12" w:history="1">
        <w:r>
          <w:rPr>
            <w:rStyle w:val="Kpr"/>
          </w:rPr>
          <w:t>https://natlib.govt.nz/schools/topics/58c70d388d2a4e137fQQ2ce3/women-in-aotearoa</w:t>
        </w:r>
      </w:hyperlink>
    </w:p>
    <w:p w14:paraId="53CDA617" w14:textId="77777777" w:rsidR="00545B13" w:rsidRDefault="00545B13" w:rsidP="00545B13">
      <w:pPr>
        <w:widowControl w:val="0"/>
        <w:numPr>
          <w:ilvl w:val="0"/>
          <w:numId w:val="1"/>
        </w:numPr>
        <w:spacing w:after="23" w:line="210" w:lineRule="exact"/>
        <w:ind w:left="240" w:hanging="220"/>
      </w:pPr>
      <w:r>
        <w:rPr>
          <w:color w:val="000000"/>
          <w:lang w:val="en-US" w:bidi="en-US"/>
        </w:rPr>
        <w:t xml:space="preserve"> Women in work through the 20th century (1993): </w:t>
      </w:r>
      <w:hyperlink r:id="rId13" w:history="1">
        <w:r>
          <w:rPr>
            <w:rStyle w:val="Kpr"/>
          </w:rPr>
          <w:t>https://www.nzonscreen.com/title/standing-in-the-sunshine-work-1993</w:t>
        </w:r>
      </w:hyperlink>
    </w:p>
    <w:p w14:paraId="13699EB1" w14:textId="77777777" w:rsidR="00545B13" w:rsidRDefault="00545B13" w:rsidP="00545B13">
      <w:pPr>
        <w:widowControl w:val="0"/>
        <w:numPr>
          <w:ilvl w:val="0"/>
          <w:numId w:val="1"/>
        </w:numPr>
        <w:spacing w:after="0" w:line="278" w:lineRule="exact"/>
        <w:ind w:left="240" w:right="220" w:hanging="220"/>
      </w:pPr>
      <w:r>
        <w:rPr>
          <w:color w:val="000000"/>
          <w:lang w:val="en-US" w:bidi="en-US"/>
        </w:rPr>
        <w:t xml:space="preserve"> Women in the House documentary (2018): </w:t>
      </w:r>
      <w:hyperlink r:id="rId14" w:history="1">
        <w:r>
          <w:rPr>
            <w:rStyle w:val="Kpr"/>
          </w:rPr>
          <w:t>https://www.nzonscreen.com/title/women-in-the-house-2018?collection=pioneering-women</w:t>
        </w:r>
      </w:hyperlink>
    </w:p>
    <w:p w14:paraId="55F9BA13" w14:textId="77777777" w:rsidR="00545B13" w:rsidRDefault="00545B13" w:rsidP="00545B13">
      <w:pPr>
        <w:widowControl w:val="0"/>
        <w:numPr>
          <w:ilvl w:val="0"/>
          <w:numId w:val="1"/>
        </w:numPr>
        <w:spacing w:after="0" w:line="278" w:lineRule="exact"/>
        <w:ind w:left="240" w:right="220" w:hanging="220"/>
      </w:pPr>
      <w:r>
        <w:rPr>
          <w:color w:val="000000"/>
          <w:lang w:val="en-US" w:bidi="en-US"/>
        </w:rPr>
        <w:t xml:space="preserve"> Women suffrage movement re-enactment (2012): </w:t>
      </w:r>
      <w:hyperlink r:id="rId15" w:history="1">
        <w:r>
          <w:rPr>
            <w:rStyle w:val="Kpr"/>
          </w:rPr>
          <w:t>https://www.nzonscreen.com/title/votes-for-women-what-really-happened-2012?collection=pioneering-women</w:t>
        </w:r>
      </w:hyperlink>
    </w:p>
    <w:p w14:paraId="68645992" w14:textId="77777777" w:rsidR="00545B13" w:rsidRDefault="00545B13" w:rsidP="00545B13">
      <w:pPr>
        <w:widowControl w:val="0"/>
        <w:numPr>
          <w:ilvl w:val="0"/>
          <w:numId w:val="1"/>
        </w:numPr>
        <w:spacing w:after="0" w:line="283" w:lineRule="exact"/>
        <w:ind w:left="240" w:right="220" w:hanging="220"/>
      </w:pPr>
      <w:r>
        <w:rPr>
          <w:color w:val="000000"/>
          <w:lang w:val="en-US" w:bidi="en-US"/>
        </w:rPr>
        <w:t xml:space="preserve"> Nothing Venture, Nothing Gain - inquiry into women in politics (1974): </w:t>
      </w:r>
      <w:hyperlink r:id="rId16" w:history="1">
        <w:r>
          <w:rPr>
            <w:rStyle w:val="Kpr"/>
          </w:rPr>
          <w:t>https://www.nzonscreen.com/title/inquiry-nothing-venture-nothing-gain-1974?collection=pioneering-women</w:t>
        </w:r>
      </w:hyperlink>
    </w:p>
    <w:p w14:paraId="6CCD1ABE" w14:textId="77777777" w:rsidR="00545B13" w:rsidRDefault="00545B13" w:rsidP="00545B13">
      <w:pPr>
        <w:widowControl w:val="0"/>
        <w:numPr>
          <w:ilvl w:val="0"/>
          <w:numId w:val="1"/>
        </w:numPr>
        <w:spacing w:after="25" w:line="210" w:lineRule="exact"/>
        <w:ind w:left="240" w:hanging="220"/>
      </w:pPr>
      <w:r>
        <w:rPr>
          <w:color w:val="000000"/>
          <w:lang w:val="en-US" w:bidi="en-US"/>
        </w:rPr>
        <w:t xml:space="preserve"> Women in comedy: </w:t>
      </w:r>
      <w:hyperlink r:id="rId17" w:history="1">
        <w:r>
          <w:rPr>
            <w:rStyle w:val="Kpr"/>
          </w:rPr>
          <w:t>https://www.tvnz.co.nz/shows/funny-as-the-story-of-new-zealand-comedy/episodes/s1-e1</w:t>
        </w:r>
      </w:hyperlink>
    </w:p>
    <w:p w14:paraId="50D36717" w14:textId="1EC7AE42" w:rsidR="00545B13" w:rsidRPr="00545B13" w:rsidRDefault="00545B13" w:rsidP="00493861">
      <w:pPr>
        <w:widowControl w:val="0"/>
        <w:numPr>
          <w:ilvl w:val="0"/>
          <w:numId w:val="1"/>
        </w:numPr>
        <w:spacing w:after="0" w:line="283" w:lineRule="exact"/>
        <w:ind w:left="240" w:right="220" w:hanging="220"/>
      </w:pPr>
      <w:r w:rsidRPr="00545B13">
        <w:rPr>
          <w:color w:val="000000"/>
          <w:lang w:val="en-US" w:bidi="en-US"/>
        </w:rPr>
        <w:t xml:space="preserve"> Female representation in the NZ film industry: </w:t>
      </w:r>
      <w:hyperlink r:id="rId18" w:history="1">
        <w:r>
          <w:rPr>
            <w:rStyle w:val="Kpr"/>
          </w:rPr>
          <w:t>https://www.stuff.co.nz/entertainment/film/98694781/women-miss-out-on-new-zealand-screens-top-jobs</w:t>
        </w:r>
      </w:hyperlink>
    </w:p>
    <w:sectPr w:rsidR="00545B13" w:rsidRPr="00545B13" w:rsidSect="00545B13">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A2"/>
    <w:family w:val="swiss"/>
    <w:pitch w:val="variable"/>
    <w:sig w:usb0="00000287" w:usb1="00000800" w:usb2="00000000" w:usb3="00000000" w:csb0="0000009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Franklin Gothic Heavy">
    <w:panose1 w:val="020B0903020102020204"/>
    <w:charset w:val="A2"/>
    <w:family w:val="swiss"/>
    <w:pitch w:val="variable"/>
    <w:sig w:usb0="00000287" w:usb1="00000000" w:usb2="00000000" w:usb3="00000000" w:csb0="0000009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93314"/>
    <w:multiLevelType w:val="multilevel"/>
    <w:tmpl w:val="66EE492E"/>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1"/>
        <w:szCs w:val="21"/>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31915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861"/>
    <w:rsid w:val="00493861"/>
    <w:rsid w:val="00545B13"/>
    <w:rsid w:val="00F215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F255"/>
  <w15:chartTrackingRefBased/>
  <w15:docId w15:val="{BFDB314A-7EED-412F-B03F-25E30900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45B13"/>
    <w:rPr>
      <w:color w:val="0066CC"/>
      <w:u w:val="single"/>
    </w:rPr>
  </w:style>
  <w:style w:type="character" w:customStyle="1" w:styleId="Balk72">
    <w:name w:val="Başlık #7 (2)_"/>
    <w:basedOn w:val="VarsaylanParagrafYazTipi"/>
    <w:link w:val="Balk720"/>
    <w:rsid w:val="00545B13"/>
    <w:rPr>
      <w:rFonts w:ascii="Arial Narrow" w:eastAsia="Arial Narrow" w:hAnsi="Arial Narrow" w:cs="Arial Narrow"/>
      <w:b/>
      <w:bCs/>
      <w:sz w:val="23"/>
      <w:szCs w:val="23"/>
      <w:shd w:val="clear" w:color="auto" w:fill="FFFFFF"/>
    </w:rPr>
  </w:style>
  <w:style w:type="character" w:customStyle="1" w:styleId="GvdemetniKaln">
    <w:name w:val="Gövde metni + Kalın"/>
    <w:basedOn w:val="VarsaylanParagrafYazTipi"/>
    <w:rsid w:val="00545B13"/>
    <w:rPr>
      <w:rFonts w:ascii="Arial Narrow" w:eastAsia="Arial Narrow" w:hAnsi="Arial Narrow" w:cs="Arial Narrow"/>
      <w:b/>
      <w:bCs/>
      <w:i w:val="0"/>
      <w:iCs w:val="0"/>
      <w:smallCaps w:val="0"/>
      <w:strike w:val="0"/>
      <w:color w:val="000000"/>
      <w:spacing w:val="0"/>
      <w:w w:val="100"/>
      <w:position w:val="0"/>
      <w:sz w:val="21"/>
      <w:szCs w:val="21"/>
      <w:u w:val="none"/>
      <w:lang w:val="en-US" w:eastAsia="en-US" w:bidi="en-US"/>
    </w:rPr>
  </w:style>
  <w:style w:type="character" w:customStyle="1" w:styleId="Gvdemetni13">
    <w:name w:val="Gövde metni (13)_"/>
    <w:basedOn w:val="VarsaylanParagrafYazTipi"/>
    <w:link w:val="Gvdemetni130"/>
    <w:rsid w:val="00545B13"/>
    <w:rPr>
      <w:rFonts w:ascii="Arial Narrow" w:eastAsia="Arial Narrow" w:hAnsi="Arial Narrow" w:cs="Arial Narrow"/>
      <w:b/>
      <w:bCs/>
      <w:sz w:val="21"/>
      <w:szCs w:val="21"/>
      <w:shd w:val="clear" w:color="auto" w:fill="FFFFFF"/>
    </w:rPr>
  </w:style>
  <w:style w:type="character" w:customStyle="1" w:styleId="Gvdemetni5">
    <w:name w:val="Gövde metni (5)_"/>
    <w:basedOn w:val="VarsaylanParagrafYazTipi"/>
    <w:link w:val="Gvdemetni50"/>
    <w:rsid w:val="00545B13"/>
    <w:rPr>
      <w:rFonts w:ascii="Franklin Gothic Heavy" w:eastAsia="Franklin Gothic Heavy" w:hAnsi="Franklin Gothic Heavy" w:cs="Franklin Gothic Heavy"/>
      <w:sz w:val="11"/>
      <w:szCs w:val="11"/>
      <w:shd w:val="clear" w:color="auto" w:fill="FFFFFF"/>
    </w:rPr>
  </w:style>
  <w:style w:type="character" w:customStyle="1" w:styleId="Balk72105ptKalnDeil">
    <w:name w:val="Başlık #7 (2) + 10;5 pt;Kalın Değil"/>
    <w:basedOn w:val="Balk72"/>
    <w:rsid w:val="00545B13"/>
    <w:rPr>
      <w:rFonts w:ascii="Arial Narrow" w:eastAsia="Arial Narrow" w:hAnsi="Arial Narrow" w:cs="Arial Narrow"/>
      <w:b/>
      <w:bCs/>
      <w:color w:val="000000"/>
      <w:spacing w:val="0"/>
      <w:w w:val="100"/>
      <w:position w:val="0"/>
      <w:sz w:val="21"/>
      <w:szCs w:val="21"/>
      <w:shd w:val="clear" w:color="auto" w:fill="FFFFFF"/>
      <w:lang w:val="en-US" w:eastAsia="en-US" w:bidi="en-US"/>
    </w:rPr>
  </w:style>
  <w:style w:type="character" w:customStyle="1" w:styleId="Gvdemetnitalik">
    <w:name w:val="Gövde metni + İtalik"/>
    <w:basedOn w:val="VarsaylanParagrafYazTipi"/>
    <w:rsid w:val="00545B13"/>
    <w:rPr>
      <w:rFonts w:ascii="Arial Narrow" w:eastAsia="Arial Narrow" w:hAnsi="Arial Narrow" w:cs="Arial Narrow"/>
      <w:b w:val="0"/>
      <w:bCs w:val="0"/>
      <w:i/>
      <w:iCs/>
      <w:smallCaps w:val="0"/>
      <w:strike w:val="0"/>
      <w:color w:val="000000"/>
      <w:spacing w:val="0"/>
      <w:w w:val="100"/>
      <w:position w:val="0"/>
      <w:sz w:val="21"/>
      <w:szCs w:val="21"/>
      <w:u w:val="none"/>
      <w:lang w:val="en-US" w:eastAsia="en-US" w:bidi="en-US"/>
    </w:rPr>
  </w:style>
  <w:style w:type="character" w:customStyle="1" w:styleId="Gvdemetni">
    <w:name w:val="Gövde metni"/>
    <w:basedOn w:val="VarsaylanParagrafYazTipi"/>
    <w:rsid w:val="00545B13"/>
    <w:rPr>
      <w:rFonts w:ascii="Arial Narrow" w:eastAsia="Arial Narrow" w:hAnsi="Arial Narrow" w:cs="Arial Narrow"/>
      <w:b w:val="0"/>
      <w:bCs w:val="0"/>
      <w:i w:val="0"/>
      <w:iCs w:val="0"/>
      <w:smallCaps w:val="0"/>
      <w:strike w:val="0"/>
      <w:color w:val="000000"/>
      <w:spacing w:val="0"/>
      <w:w w:val="100"/>
      <w:position w:val="0"/>
      <w:sz w:val="21"/>
      <w:szCs w:val="21"/>
      <w:u w:val="single"/>
      <w:lang w:val="en-US" w:eastAsia="en-US" w:bidi="en-US"/>
    </w:rPr>
  </w:style>
  <w:style w:type="paragraph" w:customStyle="1" w:styleId="Balk720">
    <w:name w:val="Başlık #7 (2)"/>
    <w:basedOn w:val="Normal"/>
    <w:link w:val="Balk72"/>
    <w:rsid w:val="00545B13"/>
    <w:pPr>
      <w:widowControl w:val="0"/>
      <w:shd w:val="clear" w:color="auto" w:fill="FFFFFF"/>
      <w:spacing w:before="600" w:after="180" w:line="0" w:lineRule="atLeast"/>
      <w:ind w:hanging="240"/>
      <w:outlineLvl w:val="6"/>
    </w:pPr>
    <w:rPr>
      <w:rFonts w:ascii="Arial Narrow" w:eastAsia="Arial Narrow" w:hAnsi="Arial Narrow" w:cs="Arial Narrow"/>
      <w:b/>
      <w:bCs/>
      <w:sz w:val="23"/>
      <w:szCs w:val="23"/>
    </w:rPr>
  </w:style>
  <w:style w:type="paragraph" w:customStyle="1" w:styleId="Gvdemetni50">
    <w:name w:val="Gövde metni (5)"/>
    <w:basedOn w:val="Normal"/>
    <w:link w:val="Gvdemetni5"/>
    <w:rsid w:val="00545B13"/>
    <w:pPr>
      <w:widowControl w:val="0"/>
      <w:shd w:val="clear" w:color="auto" w:fill="FFFFFF"/>
      <w:spacing w:after="0" w:line="0" w:lineRule="atLeast"/>
    </w:pPr>
    <w:rPr>
      <w:rFonts w:ascii="Franklin Gothic Heavy" w:eastAsia="Franklin Gothic Heavy" w:hAnsi="Franklin Gothic Heavy" w:cs="Franklin Gothic Heavy"/>
      <w:sz w:val="11"/>
      <w:szCs w:val="11"/>
    </w:rPr>
  </w:style>
  <w:style w:type="paragraph" w:customStyle="1" w:styleId="Gvdemetni130">
    <w:name w:val="Gövde metni (13)"/>
    <w:basedOn w:val="Normal"/>
    <w:link w:val="Gvdemetni13"/>
    <w:rsid w:val="00545B13"/>
    <w:pPr>
      <w:widowControl w:val="0"/>
      <w:shd w:val="clear" w:color="auto" w:fill="FFFFFF"/>
      <w:spacing w:after="0" w:line="0" w:lineRule="atLeast"/>
      <w:ind w:hanging="220"/>
    </w:pPr>
    <w:rPr>
      <w:rFonts w:ascii="Arial Narrow" w:eastAsia="Arial Narrow" w:hAnsi="Arial Narrow" w:cs="Arial Narrow"/>
      <w:b/>
      <w:bCs/>
      <w:sz w:val="21"/>
      <w:szCs w:val="21"/>
    </w:rPr>
  </w:style>
  <w:style w:type="character" w:customStyle="1" w:styleId="Balk5">
    <w:name w:val="Başlık #5_"/>
    <w:basedOn w:val="VarsaylanParagrafYazTipi"/>
    <w:link w:val="Balk50"/>
    <w:rsid w:val="00545B13"/>
    <w:rPr>
      <w:rFonts w:ascii="Arial Narrow" w:eastAsia="Arial Narrow" w:hAnsi="Arial Narrow" w:cs="Arial Narrow"/>
      <w:sz w:val="26"/>
      <w:szCs w:val="26"/>
      <w:shd w:val="clear" w:color="auto" w:fill="FFFFFF"/>
    </w:rPr>
  </w:style>
  <w:style w:type="paragraph" w:customStyle="1" w:styleId="Balk50">
    <w:name w:val="Başlık #5"/>
    <w:basedOn w:val="Normal"/>
    <w:link w:val="Balk5"/>
    <w:rsid w:val="00545B13"/>
    <w:pPr>
      <w:widowControl w:val="0"/>
      <w:shd w:val="clear" w:color="auto" w:fill="FFFFFF"/>
      <w:spacing w:before="600" w:after="600" w:line="0" w:lineRule="atLeast"/>
      <w:jc w:val="center"/>
      <w:outlineLvl w:val="4"/>
    </w:pPr>
    <w:rPr>
      <w:rFonts w:ascii="Arial Narrow" w:eastAsia="Arial Narrow" w:hAnsi="Arial Narrow" w:cs="Arial Narrow"/>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www.nzonscreen.com/title/standing-in-the-sunshine-work-1993" TargetMode="External"/><Relationship Id="rId18" Type="http://schemas.openxmlformats.org/officeDocument/2006/relationships/hyperlink" Target="https://www.stuff.co.nz/entertainment/film/98694781/women-miss-out-on-new-zealand-screens-top-jobs"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natlib.govt.nz/schools/topics/58c70d388d2a4e137fQQ2ce3/women-in-aotearoa" TargetMode="External"/><Relationship Id="rId17" Type="http://schemas.openxmlformats.org/officeDocument/2006/relationships/hyperlink" Target="https://www.tvnz.co.nz/shows/funny-as-the-story-of-new-zealand-comedy/episodes/s1-e1" TargetMode="External"/><Relationship Id="rId2" Type="http://schemas.openxmlformats.org/officeDocument/2006/relationships/styles" Target="styles.xml"/><Relationship Id="rId16" Type="http://schemas.openxmlformats.org/officeDocument/2006/relationships/hyperlink" Target="https://www.nzonscreen.com/title/inquiry-nothing-venture-nothing-gain-1974?collection=pioneering-wom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teara.govt.nz/en/womens-movement/page-6" TargetMode="External"/><Relationship Id="rId5" Type="http://schemas.openxmlformats.org/officeDocument/2006/relationships/image" Target="media/image1.png"/><Relationship Id="rId15" Type="http://schemas.openxmlformats.org/officeDocument/2006/relationships/hyperlink" Target="https://www.nzonscreen.com/title/votes-for-women-what-really-happened-2012?collection=pioneering-women" TargetMode="External"/><Relationship Id="rId10" Type="http://schemas.openxmlformats.org/officeDocument/2006/relationships/hyperlink" Target="https://teara.govt.nz/en/womens-movement/page-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nzonscreen.com/title/women-in-the-house-2018?collection=pioneering-women"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523</TotalTime>
  <Pages>2</Pages>
  <Words>733</Words>
  <Characters>4179</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KiNGHaZe</Company>
  <LinksUpToDate>false</LinksUpToDate>
  <CharactersWithSpaces>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KILIÇ</dc:creator>
  <cp:keywords/>
  <dc:description/>
  <cp:lastModifiedBy>Metin KILIÇ</cp:lastModifiedBy>
  <cp:revision>1</cp:revision>
  <dcterms:created xsi:type="dcterms:W3CDTF">2022-05-05T10:34:00Z</dcterms:created>
  <dcterms:modified xsi:type="dcterms:W3CDTF">2022-05-05T19:17:00Z</dcterms:modified>
</cp:coreProperties>
</file>