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5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4896"/>
        <w:gridCol w:w="2963"/>
      </w:tblGrid>
      <w:tr w:rsidR="001B3FE9" w:rsidTr="00473423">
        <w:trPr>
          <w:trHeight w:val="1235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</w:p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85800" cy="685800"/>
                  <wp:effectExtent l="19050" t="0" r="0" b="0"/>
                  <wp:docPr id="9" name="il_fi" descr="http://edu.jccm.es/ies/aguasvivas/images/phocagallery/logoaguasvi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du.jccm.es/ies/aguasvivas/images/phocagallery/logoaguasvi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1B3FE9" w:rsidRPr="00C65CAB" w:rsidRDefault="001B3FE9" w:rsidP="00473423">
            <w:pPr>
              <w:jc w:val="center"/>
            </w:pPr>
            <w:r w:rsidRPr="00C65CAB">
              <w:t xml:space="preserve">Project </w:t>
            </w:r>
            <w:proofErr w:type="spellStart"/>
            <w:r w:rsidRPr="00C65CAB">
              <w:t>number</w:t>
            </w:r>
            <w:proofErr w:type="spellEnd"/>
            <w:r w:rsidRPr="00C65CAB">
              <w:t>:</w:t>
            </w:r>
          </w:p>
          <w:p w:rsidR="001B3FE9" w:rsidRDefault="001B3FE9" w:rsidP="00473423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21B15">
              <w:rPr>
                <w:rFonts w:ascii="Arial" w:hAnsi="Arial" w:cs="Arial"/>
                <w:b/>
                <w:color w:val="222222"/>
                <w:shd w:val="clear" w:color="auto" w:fill="FFFFFF"/>
              </w:rPr>
              <w:t>2018-1-ES01-KA229-051100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_1</w:t>
            </w:r>
          </w:p>
          <w:p w:rsidR="001B3FE9" w:rsidRPr="00C65CAB" w:rsidRDefault="001B3FE9" w:rsidP="00473423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1B3FE9" w:rsidRPr="00C65CAB" w:rsidRDefault="001B3FE9" w:rsidP="00473423">
            <w:pPr>
              <w:pStyle w:val="Encabezad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65CAB">
              <w:rPr>
                <w:rFonts w:ascii="Century Gothic" w:hAnsi="Century Gothic"/>
                <w:b/>
                <w:sz w:val="28"/>
                <w:szCs w:val="28"/>
              </w:rPr>
              <w:t>CONVIVIENDO-CON VIVENCIA</w:t>
            </w:r>
          </w:p>
          <w:p w:rsidR="001B3FE9" w:rsidRPr="00E7452B" w:rsidRDefault="001B3FE9" w:rsidP="00473423">
            <w:pPr>
              <w:jc w:val="center"/>
              <w:rPr>
                <w:lang w:val="en-US"/>
              </w:rPr>
            </w:pPr>
            <w:r w:rsidRPr="00C65CAB">
              <w:rPr>
                <w:sz w:val="14"/>
                <w:szCs w:val="14"/>
              </w:rPr>
              <w:t>SPAIN</w:t>
            </w:r>
          </w:p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33550" cy="523875"/>
                  <wp:effectExtent l="0" t="0" r="0" b="9525"/>
                  <wp:docPr id="10" name="Imagen 1" descr="F:\ERASMUS\HELENA ERASMUS\logos\erasmus cofinanciado 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RASMUS\HELENA ERASMUS\logos\erasmus cofinanciado 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E9" w:rsidTr="00473423">
        <w:trPr>
          <w:trHeight w:val="507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85900" cy="424418"/>
                  <wp:effectExtent l="19050" t="0" r="0" b="0"/>
                  <wp:docPr id="11" name="1 Imagen" descr="EU flag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25" cy="42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1B3FE9" w:rsidRPr="001B3FE9" w:rsidRDefault="001B3FE9" w:rsidP="005A68E9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1B3FE9">
              <w:rPr>
                <w:rFonts w:ascii="Century Gothic" w:hAnsi="Century Gothic"/>
                <w:b/>
                <w:color w:val="003366"/>
                <w:sz w:val="28"/>
                <w:szCs w:val="28"/>
              </w:rPr>
              <w:br/>
            </w:r>
            <w:r w:rsidR="003E516E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RESUMEN</w:t>
            </w:r>
            <w:r w:rsidR="005A68E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PRIMERA REUNIÓN ENCUENTRO TRANSNACIONAL GUADALAJARA DICIEMBRE 2018</w:t>
            </w:r>
            <w:r w:rsidRPr="001B3FE9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  </w:t>
            </w:r>
          </w:p>
          <w:p w:rsidR="001B3FE9" w:rsidRPr="00065C5C" w:rsidRDefault="001B3FE9" w:rsidP="00473423">
            <w:pPr>
              <w:jc w:val="center"/>
              <w:rPr>
                <w:rFonts w:ascii="Century Gothic" w:hAnsi="Century Gothic"/>
                <w:b/>
                <w:color w:val="003366"/>
                <w:sz w:val="28"/>
                <w:szCs w:val="28"/>
                <w:lang w:val="en-US"/>
              </w:rPr>
            </w:pPr>
            <w:r w:rsidRPr="001B3FE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65C5C">
              <w:rPr>
                <w:rFonts w:ascii="Century Gothic" w:hAnsi="Century Gothic"/>
                <w:b/>
                <w:lang w:val="en-US"/>
              </w:rPr>
              <w:t>ERASMUS+ PROGRAM</w:t>
            </w:r>
            <w:r w:rsidRPr="00065C5C">
              <w:rPr>
                <w:rFonts w:ascii="Century Gothic" w:hAnsi="Century Gothic"/>
                <w:b/>
                <w:lang w:val="en-US"/>
              </w:rPr>
              <w:br/>
              <w:t>(School Years: 2018 to 2020)</w:t>
            </w:r>
          </w:p>
          <w:p w:rsidR="001B3FE9" w:rsidRPr="00065C5C" w:rsidRDefault="001B3FE9" w:rsidP="00473423">
            <w:pPr>
              <w:jc w:val="center"/>
              <w:rPr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1B3FE9" w:rsidRPr="00065C5C" w:rsidRDefault="001B3FE9" w:rsidP="00473423">
            <w:pPr>
              <w:pStyle w:val="Encabezado"/>
              <w:jc w:val="center"/>
              <w:rPr>
                <w:sz w:val="16"/>
                <w:szCs w:val="16"/>
                <w:lang w:val="en-US"/>
              </w:rPr>
            </w:pPr>
          </w:p>
          <w:p w:rsidR="001B3FE9" w:rsidRDefault="001B3FE9" w:rsidP="0047342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23925" cy="469243"/>
                  <wp:effectExtent l="19050" t="0" r="9525" b="0"/>
                  <wp:docPr id="13" name="12 Imagen" descr="logo-se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ep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19" cy="4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FE9" w:rsidRDefault="001B3FE9" w:rsidP="00473423">
            <w:pPr>
              <w:jc w:val="center"/>
            </w:pPr>
          </w:p>
        </w:tc>
      </w:tr>
    </w:tbl>
    <w:p w:rsidR="00E37D57" w:rsidRDefault="00E37D57" w:rsidP="00E37D57">
      <w:pPr>
        <w:pStyle w:val="Encabezado"/>
      </w:pPr>
    </w:p>
    <w:p w:rsidR="001B3FE9" w:rsidRDefault="001B3FE9" w:rsidP="00E37D57">
      <w:pPr>
        <w:pStyle w:val="Encabezado"/>
      </w:pPr>
    </w:p>
    <w:tbl>
      <w:tblPr>
        <w:tblStyle w:val="Tablaconcuadrcula"/>
        <w:tblW w:w="10445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5"/>
        <w:gridCol w:w="4907"/>
        <w:gridCol w:w="2963"/>
      </w:tblGrid>
      <w:tr w:rsidR="001B3FE9" w:rsidTr="00473423">
        <w:trPr>
          <w:trHeight w:val="1235"/>
          <w:jc w:val="center"/>
        </w:trPr>
        <w:tc>
          <w:tcPr>
            <w:tcW w:w="2575" w:type="dxa"/>
            <w:vAlign w:val="center"/>
          </w:tcPr>
          <w:p w:rsidR="001B3FE9" w:rsidRDefault="001B3FE9" w:rsidP="005A68E9"/>
        </w:tc>
        <w:tc>
          <w:tcPr>
            <w:tcW w:w="4907" w:type="dxa"/>
            <w:vAlign w:val="center"/>
          </w:tcPr>
          <w:p w:rsidR="001B3FE9" w:rsidRPr="005A68E9" w:rsidRDefault="001B3FE9" w:rsidP="00473423">
            <w:pPr>
              <w:jc w:val="center"/>
            </w:pPr>
          </w:p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</w:p>
        </w:tc>
      </w:tr>
      <w:tr w:rsidR="001B3FE9" w:rsidTr="00473423">
        <w:trPr>
          <w:trHeight w:val="507"/>
          <w:jc w:val="center"/>
        </w:trPr>
        <w:tc>
          <w:tcPr>
            <w:tcW w:w="2575" w:type="dxa"/>
            <w:vAlign w:val="center"/>
          </w:tcPr>
          <w:p w:rsidR="001B3FE9" w:rsidRDefault="001B3FE9" w:rsidP="00473423">
            <w:pPr>
              <w:jc w:val="center"/>
            </w:pPr>
          </w:p>
        </w:tc>
        <w:tc>
          <w:tcPr>
            <w:tcW w:w="4907" w:type="dxa"/>
            <w:vAlign w:val="center"/>
          </w:tcPr>
          <w:p w:rsidR="001B3FE9" w:rsidRPr="005A68E9" w:rsidRDefault="001B3FE9" w:rsidP="00065C5C"/>
        </w:tc>
        <w:tc>
          <w:tcPr>
            <w:tcW w:w="2963" w:type="dxa"/>
            <w:vAlign w:val="center"/>
          </w:tcPr>
          <w:p w:rsidR="001B3FE9" w:rsidRDefault="001B3FE9" w:rsidP="00473423">
            <w:pPr>
              <w:jc w:val="center"/>
            </w:pPr>
          </w:p>
        </w:tc>
      </w:tr>
    </w:tbl>
    <w:p w:rsidR="001B3FE9" w:rsidRDefault="001B3FE9" w:rsidP="00E37D57">
      <w:pPr>
        <w:pStyle w:val="Encabezado"/>
      </w:pPr>
    </w:p>
    <w:p w:rsidR="001B3FE9" w:rsidRDefault="001B3FE9" w:rsidP="001B3FE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1B3FE9" w:rsidRDefault="001B3FE9" w:rsidP="001B3FE9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37D57" w:rsidRDefault="00E37D57" w:rsidP="00E37D57">
      <w:pPr>
        <w:spacing w:after="0"/>
        <w:rPr>
          <w:rFonts w:ascii="Arial" w:hAnsi="Arial" w:cs="Arial"/>
          <w:b/>
          <w:u w:val="single"/>
        </w:rPr>
      </w:pPr>
      <w:r w:rsidRPr="00065C5C">
        <w:rPr>
          <w:rFonts w:ascii="Arial" w:hAnsi="Arial" w:cs="Arial"/>
          <w:b/>
          <w:highlight w:val="yellow"/>
          <w:u w:val="single"/>
        </w:rPr>
        <w:t>El Proyecto</w:t>
      </w:r>
      <w:r w:rsidR="002F74F4" w:rsidRPr="00065C5C">
        <w:rPr>
          <w:rFonts w:ascii="Arial" w:hAnsi="Arial" w:cs="Arial"/>
          <w:b/>
          <w:highlight w:val="yellow"/>
          <w:u w:val="single"/>
        </w:rPr>
        <w:t xml:space="preserve"> Era</w:t>
      </w:r>
      <w:r w:rsidR="005A68E9" w:rsidRPr="00065C5C">
        <w:rPr>
          <w:rFonts w:ascii="Arial" w:hAnsi="Arial" w:cs="Arial"/>
          <w:b/>
          <w:highlight w:val="yellow"/>
          <w:u w:val="single"/>
        </w:rPr>
        <w:t xml:space="preserve">smus+ </w:t>
      </w:r>
      <w:r w:rsidR="002F74F4" w:rsidRPr="00065C5C">
        <w:rPr>
          <w:rFonts w:ascii="Arial" w:hAnsi="Arial" w:cs="Arial"/>
          <w:b/>
          <w:highlight w:val="yellow"/>
          <w:u w:val="single"/>
        </w:rPr>
        <w:t xml:space="preserve"> “Conviviendo Con</w:t>
      </w:r>
      <w:r w:rsidR="00065C5C">
        <w:rPr>
          <w:rFonts w:ascii="Arial" w:hAnsi="Arial" w:cs="Arial"/>
          <w:b/>
          <w:highlight w:val="yellow"/>
          <w:u w:val="single"/>
        </w:rPr>
        <w:t>-</w:t>
      </w:r>
      <w:r w:rsidR="002F74F4" w:rsidRPr="00065C5C">
        <w:rPr>
          <w:rFonts w:ascii="Arial" w:hAnsi="Arial" w:cs="Arial"/>
          <w:b/>
          <w:highlight w:val="yellow"/>
          <w:u w:val="single"/>
        </w:rPr>
        <w:t>vivencia”</w:t>
      </w:r>
    </w:p>
    <w:p w:rsidR="00065C5C" w:rsidRDefault="00065C5C" w:rsidP="00E37D57">
      <w:pPr>
        <w:spacing w:after="0"/>
        <w:rPr>
          <w:rFonts w:ascii="Arial" w:hAnsi="Arial" w:cs="Arial"/>
          <w:b/>
          <w:u w:val="single"/>
        </w:rPr>
      </w:pPr>
    </w:p>
    <w:p w:rsidR="00065C5C" w:rsidRPr="00065C5C" w:rsidRDefault="00065C5C" w:rsidP="00E37D57">
      <w:pPr>
        <w:spacing w:after="0"/>
        <w:rPr>
          <w:rFonts w:ascii="Arial" w:hAnsi="Arial" w:cs="Arial"/>
          <w:b/>
          <w:u w:val="single"/>
        </w:rPr>
      </w:pPr>
    </w:p>
    <w:p w:rsidR="00E37D57" w:rsidRPr="00065C5C" w:rsidRDefault="001275BA" w:rsidP="00E37D57">
      <w:pPr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 xml:space="preserve">Reunidos  los  profesores  de Catania: Giovanna </w:t>
      </w:r>
      <w:proofErr w:type="spellStart"/>
      <w:r w:rsidRPr="00065C5C">
        <w:rPr>
          <w:rFonts w:ascii="Century Gothic" w:hAnsi="Century Gothic"/>
        </w:rPr>
        <w:t>Cannavò</w:t>
      </w:r>
      <w:proofErr w:type="spellEnd"/>
      <w:r w:rsidRPr="00065C5C">
        <w:rPr>
          <w:rFonts w:ascii="Century Gothic" w:hAnsi="Century Gothic"/>
        </w:rPr>
        <w:t xml:space="preserve">, </w:t>
      </w:r>
      <w:proofErr w:type="spellStart"/>
      <w:r w:rsidRPr="00065C5C">
        <w:rPr>
          <w:rFonts w:ascii="Century Gothic" w:hAnsi="Century Gothic"/>
        </w:rPr>
        <w:t>Annalisa</w:t>
      </w:r>
      <w:proofErr w:type="spellEnd"/>
      <w:r w:rsidRPr="00065C5C">
        <w:rPr>
          <w:rFonts w:ascii="Century Gothic" w:hAnsi="Century Gothic"/>
        </w:rPr>
        <w:t xml:space="preserve"> </w:t>
      </w:r>
      <w:proofErr w:type="spellStart"/>
      <w:r w:rsidRPr="00065C5C">
        <w:rPr>
          <w:rFonts w:ascii="Century Gothic" w:hAnsi="Century Gothic"/>
        </w:rPr>
        <w:t>Melfa</w:t>
      </w:r>
      <w:proofErr w:type="spellEnd"/>
      <w:r w:rsidRPr="00065C5C">
        <w:rPr>
          <w:rFonts w:ascii="Century Gothic" w:hAnsi="Century Gothic"/>
        </w:rPr>
        <w:t xml:space="preserve">, </w:t>
      </w:r>
      <w:proofErr w:type="spellStart"/>
      <w:r w:rsidRPr="00065C5C">
        <w:rPr>
          <w:rFonts w:ascii="Century Gothic" w:hAnsi="Century Gothic"/>
        </w:rPr>
        <w:t>Maria</w:t>
      </w:r>
      <w:proofErr w:type="spellEnd"/>
      <w:r w:rsidRPr="00065C5C">
        <w:rPr>
          <w:rFonts w:ascii="Century Gothic" w:hAnsi="Century Gothic"/>
        </w:rPr>
        <w:t xml:space="preserve"> </w:t>
      </w:r>
      <w:proofErr w:type="spellStart"/>
      <w:r w:rsidRPr="00065C5C">
        <w:rPr>
          <w:rFonts w:ascii="Century Gothic" w:hAnsi="Century Gothic"/>
        </w:rPr>
        <w:t>Gueli</w:t>
      </w:r>
      <w:proofErr w:type="spellEnd"/>
    </w:p>
    <w:p w:rsidR="001275BA" w:rsidRPr="00065C5C" w:rsidRDefault="001275BA" w:rsidP="001275BA">
      <w:pPr>
        <w:spacing w:after="0"/>
        <w:ind w:left="2832"/>
        <w:rPr>
          <w:rFonts w:ascii="Century Gothic" w:hAnsi="Century Gothic"/>
        </w:rPr>
      </w:pPr>
      <w:proofErr w:type="gramStart"/>
      <w:r w:rsidRPr="00065C5C">
        <w:rPr>
          <w:rFonts w:ascii="Century Gothic" w:hAnsi="Century Gothic"/>
        </w:rPr>
        <w:t>de</w:t>
      </w:r>
      <w:proofErr w:type="gramEnd"/>
      <w:r w:rsidRPr="00065C5C">
        <w:rPr>
          <w:rFonts w:ascii="Century Gothic" w:hAnsi="Century Gothic"/>
        </w:rPr>
        <w:t xml:space="preserve"> Canarias: Dimas López Rodríguez,</w:t>
      </w:r>
      <w:r w:rsidR="00C17279" w:rsidRPr="00065C5C">
        <w:rPr>
          <w:rFonts w:ascii="Century Gothic" w:hAnsi="Century Gothic"/>
        </w:rPr>
        <w:t xml:space="preserve"> Alicia </w:t>
      </w:r>
      <w:proofErr w:type="spellStart"/>
      <w:r w:rsidR="00C17279" w:rsidRPr="00065C5C">
        <w:rPr>
          <w:rFonts w:ascii="Century Gothic" w:hAnsi="Century Gothic"/>
        </w:rPr>
        <w:t>Esper-Chaín</w:t>
      </w:r>
      <w:proofErr w:type="spellEnd"/>
      <w:r w:rsidR="00C17279" w:rsidRPr="00065C5C">
        <w:rPr>
          <w:rFonts w:ascii="Century Gothic" w:hAnsi="Century Gothic"/>
        </w:rPr>
        <w:t xml:space="preserve"> Falcón y</w:t>
      </w:r>
    </w:p>
    <w:p w:rsidR="00BD0951" w:rsidRPr="00065C5C" w:rsidRDefault="00C17279" w:rsidP="00C17279">
      <w:pPr>
        <w:spacing w:after="0"/>
        <w:ind w:left="2832"/>
        <w:rPr>
          <w:rFonts w:ascii="Century Gothic" w:hAnsi="Century Gothic"/>
        </w:rPr>
      </w:pPr>
      <w:proofErr w:type="gramStart"/>
      <w:r w:rsidRPr="00065C5C">
        <w:rPr>
          <w:rFonts w:ascii="Century Gothic" w:hAnsi="Century Gothic"/>
        </w:rPr>
        <w:t>de</w:t>
      </w:r>
      <w:proofErr w:type="gramEnd"/>
      <w:r w:rsidRPr="00065C5C">
        <w:rPr>
          <w:rFonts w:ascii="Century Gothic" w:hAnsi="Century Gothic"/>
        </w:rPr>
        <w:t xml:space="preserve"> Guadalajara: Eugenia Romero  y Rafael Iglesias</w:t>
      </w:r>
    </w:p>
    <w:p w:rsidR="00C17279" w:rsidRPr="00065C5C" w:rsidRDefault="00C17279" w:rsidP="00C17279">
      <w:pPr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Da comienzo la reunión  a las 9,10h con el siguiente contenido:</w:t>
      </w:r>
    </w:p>
    <w:p w:rsidR="0027097A" w:rsidRPr="00065C5C" w:rsidRDefault="00C17279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 xml:space="preserve">En primer lugar les mostramos el </w:t>
      </w:r>
      <w:r w:rsidR="00B36543" w:rsidRPr="00065C5C">
        <w:rPr>
          <w:rFonts w:ascii="Century Gothic" w:hAnsi="Century Gothic"/>
        </w:rPr>
        <w:t>centro, aulas, laboratorios</w:t>
      </w:r>
      <w:r w:rsidRPr="00065C5C">
        <w:rPr>
          <w:rFonts w:ascii="Century Gothic" w:hAnsi="Century Gothic"/>
        </w:rPr>
        <w:t xml:space="preserve">, talleres de </w:t>
      </w:r>
      <w:r w:rsidR="007D2CE8" w:rsidRPr="00065C5C">
        <w:rPr>
          <w:rFonts w:ascii="Century Gothic" w:hAnsi="Century Gothic"/>
        </w:rPr>
        <w:t xml:space="preserve">automoción, </w:t>
      </w:r>
      <w:r w:rsidRPr="00065C5C">
        <w:rPr>
          <w:rFonts w:ascii="Century Gothic" w:hAnsi="Century Gothic"/>
        </w:rPr>
        <w:t xml:space="preserve">gimnasio </w:t>
      </w:r>
      <w:r w:rsidR="007D2CE8" w:rsidRPr="00065C5C">
        <w:rPr>
          <w:rFonts w:ascii="Century Gothic" w:hAnsi="Century Gothic"/>
        </w:rPr>
        <w:t xml:space="preserve">y el huerto escolar para que </w:t>
      </w:r>
      <w:proofErr w:type="gramStart"/>
      <w:r w:rsidR="007D2CE8" w:rsidRPr="00065C5C">
        <w:rPr>
          <w:rFonts w:ascii="Century Gothic" w:hAnsi="Century Gothic"/>
        </w:rPr>
        <w:t>así</w:t>
      </w:r>
      <w:proofErr w:type="gramEnd"/>
      <w:r w:rsidR="007D2CE8" w:rsidRPr="00065C5C">
        <w:rPr>
          <w:rFonts w:ascii="Century Gothic" w:hAnsi="Century Gothic"/>
        </w:rPr>
        <w:t xml:space="preserve"> se hagan una idea de</w:t>
      </w:r>
      <w:r w:rsidR="00B36543" w:rsidRPr="00065C5C">
        <w:rPr>
          <w:rFonts w:ascii="Century Gothic" w:hAnsi="Century Gothic"/>
        </w:rPr>
        <w:t xml:space="preserve"> la magnitud de </w:t>
      </w:r>
      <w:r w:rsidR="007D2CE8" w:rsidRPr="00065C5C">
        <w:rPr>
          <w:rFonts w:ascii="Century Gothic" w:hAnsi="Century Gothic"/>
        </w:rPr>
        <w:t xml:space="preserve"> nuestr</w:t>
      </w:r>
      <w:r w:rsidR="0027097A" w:rsidRPr="00065C5C">
        <w:rPr>
          <w:rFonts w:ascii="Century Gothic" w:hAnsi="Century Gothic"/>
        </w:rPr>
        <w:t>o institut</w:t>
      </w:r>
      <w:r w:rsidR="00B36543" w:rsidRPr="00065C5C">
        <w:rPr>
          <w:rFonts w:ascii="Century Gothic" w:hAnsi="Century Gothic"/>
        </w:rPr>
        <w:t>o</w:t>
      </w:r>
      <w:r w:rsidR="0027097A" w:rsidRPr="00065C5C">
        <w:rPr>
          <w:rFonts w:ascii="Century Gothic" w:hAnsi="Century Gothic"/>
        </w:rPr>
        <w:t>.</w:t>
      </w:r>
    </w:p>
    <w:p w:rsidR="0027097A" w:rsidRPr="00065C5C" w:rsidRDefault="0027097A" w:rsidP="0027097A">
      <w:pPr>
        <w:pStyle w:val="Prrafodelista"/>
        <w:spacing w:after="0"/>
        <w:rPr>
          <w:rFonts w:ascii="Century Gothic" w:hAnsi="Century Gothic"/>
        </w:rPr>
      </w:pPr>
    </w:p>
    <w:p w:rsidR="0027097A" w:rsidRPr="00065C5C" w:rsidRDefault="007D2CE8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Sobre las 10,15h en la sala de juntas Rafael procede a hacerles la presentación del departamento de convivencia. Este está vertebrado en tre</w:t>
      </w:r>
      <w:r w:rsidR="0027097A" w:rsidRPr="00065C5C">
        <w:rPr>
          <w:rFonts w:ascii="Century Gothic" w:hAnsi="Century Gothic"/>
        </w:rPr>
        <w:t>s pilares fundamentales que son</w:t>
      </w:r>
      <w:r w:rsidRPr="00065C5C">
        <w:rPr>
          <w:rFonts w:ascii="Century Gothic" w:hAnsi="Century Gothic"/>
        </w:rPr>
        <w:t>:</w:t>
      </w:r>
      <w:r w:rsidR="0027097A" w:rsidRPr="00065C5C">
        <w:rPr>
          <w:rFonts w:ascii="Century Gothic" w:hAnsi="Century Gothic"/>
        </w:rPr>
        <w:t xml:space="preserve"> </w:t>
      </w:r>
      <w:r w:rsidRPr="00065C5C">
        <w:rPr>
          <w:rFonts w:ascii="Century Gothic" w:hAnsi="Century Gothic"/>
        </w:rPr>
        <w:t xml:space="preserve">Alumnos mediadores y amigos, Alumnos </w:t>
      </w:r>
      <w:proofErr w:type="spellStart"/>
      <w:r w:rsidRPr="00065C5C">
        <w:rPr>
          <w:rFonts w:ascii="Century Gothic" w:hAnsi="Century Gothic"/>
        </w:rPr>
        <w:t>ciber</w:t>
      </w:r>
      <w:proofErr w:type="spellEnd"/>
      <w:r w:rsidRPr="00065C5C">
        <w:rPr>
          <w:rFonts w:ascii="Century Gothic" w:hAnsi="Century Gothic"/>
        </w:rPr>
        <w:t xml:space="preserve">-ayudantes y Alumnos al rescate, que se corresponden con las actividades de las tres reuniones transnacionales que tenemos diseñadas en el </w:t>
      </w:r>
      <w:r w:rsidR="0027097A" w:rsidRPr="00065C5C">
        <w:rPr>
          <w:rFonts w:ascii="Century Gothic" w:hAnsi="Century Gothic"/>
        </w:rPr>
        <w:t>proyecto. Les explica todas las actividades que hacemos</w:t>
      </w:r>
      <w:r w:rsidR="00B36543" w:rsidRPr="00065C5C">
        <w:rPr>
          <w:rFonts w:ascii="Century Gothic" w:hAnsi="Century Gothic"/>
        </w:rPr>
        <w:t xml:space="preserve"> y que tenemos diseñadas</w:t>
      </w:r>
      <w:r w:rsidR="0027097A" w:rsidRPr="00065C5C">
        <w:rPr>
          <w:rFonts w:ascii="Century Gothic" w:hAnsi="Century Gothic"/>
        </w:rPr>
        <w:t xml:space="preserve"> que están recogidas en nuestro blog</w:t>
      </w:r>
      <w:r w:rsidR="00B36543" w:rsidRPr="00065C5C">
        <w:rPr>
          <w:rFonts w:ascii="Century Gothic" w:hAnsi="Century Gothic"/>
        </w:rPr>
        <w:t xml:space="preserve">  </w:t>
      </w:r>
      <w:r w:rsidR="0027097A" w:rsidRPr="00065C5C">
        <w:rPr>
          <w:rFonts w:ascii="Century Gothic" w:hAnsi="Century Gothic"/>
        </w:rPr>
        <w:t>(</w:t>
      </w:r>
      <w:hyperlink r:id="rId9" w:history="1">
        <w:r w:rsidR="0027097A" w:rsidRPr="00065C5C">
          <w:rPr>
            <w:rFonts w:ascii="Century Gothic" w:hAnsi="Century Gothic"/>
          </w:rPr>
          <w:t>https://convivenciaaguasvivas.blogspot.com/</w:t>
        </w:r>
      </w:hyperlink>
      <w:r w:rsidR="0027097A" w:rsidRPr="00065C5C">
        <w:rPr>
          <w:rFonts w:ascii="Century Gothic" w:hAnsi="Century Gothic"/>
        </w:rPr>
        <w:t>).</w:t>
      </w:r>
    </w:p>
    <w:p w:rsidR="0027097A" w:rsidRPr="00065C5C" w:rsidRDefault="0027097A" w:rsidP="0027097A">
      <w:pPr>
        <w:pStyle w:val="Prrafodelista"/>
        <w:spacing w:after="0"/>
        <w:rPr>
          <w:rFonts w:ascii="Century Gothic" w:hAnsi="Century Gothic"/>
        </w:rPr>
      </w:pPr>
    </w:p>
    <w:p w:rsidR="0027097A" w:rsidRPr="00065C5C" w:rsidRDefault="0027097A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A las11</w:t>
      </w:r>
      <w:r w:rsidR="007D2CE8" w:rsidRPr="00065C5C">
        <w:rPr>
          <w:rFonts w:ascii="Century Gothic" w:hAnsi="Century Gothic"/>
        </w:rPr>
        <w:t xml:space="preserve"> </w:t>
      </w:r>
      <w:r w:rsidRPr="00065C5C">
        <w:rPr>
          <w:rFonts w:ascii="Century Gothic" w:hAnsi="Century Gothic"/>
        </w:rPr>
        <w:t>hacemos un descanso y nos reunimos con los alumnos mediadores y alumnos amigos que están haciendo la formación y todos juntos nos tomamos unos aperitivos que nos dejaron preparados las madres del AMPA (asociación de madres y padres de alumnos)</w:t>
      </w:r>
    </w:p>
    <w:p w:rsidR="0027097A" w:rsidRPr="00065C5C" w:rsidRDefault="0027097A" w:rsidP="0027097A">
      <w:pPr>
        <w:pStyle w:val="Prrafodelista"/>
        <w:spacing w:after="0"/>
        <w:rPr>
          <w:rFonts w:ascii="Century Gothic" w:hAnsi="Century Gothic"/>
        </w:rPr>
      </w:pPr>
    </w:p>
    <w:p w:rsidR="0027097A" w:rsidRPr="00065C5C" w:rsidRDefault="00B36543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Sobre las 11,30 volvemos al trabajo y a</w:t>
      </w:r>
      <w:r w:rsidR="0027097A" w:rsidRPr="00065C5C">
        <w:rPr>
          <w:rFonts w:ascii="Century Gothic" w:hAnsi="Century Gothic"/>
        </w:rPr>
        <w:t xml:space="preserve">ccedemos al </w:t>
      </w:r>
      <w:proofErr w:type="spellStart"/>
      <w:r w:rsidR="0027097A" w:rsidRPr="00065C5C">
        <w:rPr>
          <w:rFonts w:ascii="Century Gothic" w:hAnsi="Century Gothic"/>
        </w:rPr>
        <w:t>Mobility</w:t>
      </w:r>
      <w:proofErr w:type="spellEnd"/>
      <w:r w:rsidR="0027097A" w:rsidRPr="00065C5C">
        <w:rPr>
          <w:rFonts w:ascii="Century Gothic" w:hAnsi="Century Gothic"/>
        </w:rPr>
        <w:t xml:space="preserve"> </w:t>
      </w:r>
      <w:proofErr w:type="spellStart"/>
      <w:r w:rsidRPr="00065C5C">
        <w:rPr>
          <w:rFonts w:ascii="Century Gothic" w:hAnsi="Century Gothic"/>
        </w:rPr>
        <w:t>Tool</w:t>
      </w:r>
      <w:proofErr w:type="spellEnd"/>
      <w:r w:rsidRPr="00065C5C">
        <w:rPr>
          <w:rFonts w:ascii="Century Gothic" w:hAnsi="Century Gothic"/>
        </w:rPr>
        <w:t>, que</w:t>
      </w:r>
      <w:r w:rsidR="00A7770D" w:rsidRPr="00065C5C">
        <w:rPr>
          <w:rFonts w:ascii="Century Gothic" w:hAnsi="Century Gothic"/>
        </w:rPr>
        <w:t xml:space="preserve"> es </w:t>
      </w:r>
      <w:r w:rsidR="0027097A" w:rsidRPr="00065C5C">
        <w:rPr>
          <w:rFonts w:ascii="Century Gothic" w:hAnsi="Century Gothic"/>
        </w:rPr>
        <w:t xml:space="preserve"> una plataforma donde </w:t>
      </w:r>
      <w:r w:rsidR="00A7770D" w:rsidRPr="00065C5C">
        <w:rPr>
          <w:rFonts w:ascii="Century Gothic" w:hAnsi="Century Gothic"/>
        </w:rPr>
        <w:t>tenemos que reflejar todas nuestras actividades. Giovanna nos explica su funcionamiento pero comprobamos que nuestro proyecto aun no está activo.</w:t>
      </w:r>
    </w:p>
    <w:p w:rsidR="00A7770D" w:rsidRPr="00065C5C" w:rsidRDefault="00A7770D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 xml:space="preserve">Accedemos también al </w:t>
      </w:r>
      <w:proofErr w:type="spellStart"/>
      <w:r w:rsidRPr="00065C5C">
        <w:rPr>
          <w:rFonts w:ascii="Century Gothic" w:hAnsi="Century Gothic"/>
        </w:rPr>
        <w:t>eTwinning</w:t>
      </w:r>
      <w:proofErr w:type="spellEnd"/>
      <w:r w:rsidRPr="00065C5C">
        <w:rPr>
          <w:rFonts w:ascii="Century Gothic" w:hAnsi="Century Gothic"/>
        </w:rPr>
        <w:t xml:space="preserve"> del proyecto y Giovanna </w:t>
      </w:r>
      <w:r w:rsidR="003E516E" w:rsidRPr="00065C5C">
        <w:rPr>
          <w:rFonts w:ascii="Century Gothic" w:hAnsi="Century Gothic"/>
        </w:rPr>
        <w:t>nos muestra la estructura que le</w:t>
      </w:r>
      <w:r w:rsidRPr="00065C5C">
        <w:rPr>
          <w:rFonts w:ascii="Century Gothic" w:hAnsi="Century Gothic"/>
        </w:rPr>
        <w:t xml:space="preserve"> ha dado y la forma en la que tenemos que subir información, tanto fotos como documentos.</w:t>
      </w:r>
    </w:p>
    <w:p w:rsidR="00A7770D" w:rsidRPr="00065C5C" w:rsidRDefault="00A7770D" w:rsidP="0027097A">
      <w:pPr>
        <w:pStyle w:val="Prrafodelista"/>
        <w:spacing w:after="0"/>
        <w:rPr>
          <w:rFonts w:ascii="Century Gothic" w:hAnsi="Century Gothic"/>
        </w:rPr>
      </w:pPr>
    </w:p>
    <w:p w:rsidR="00A7770D" w:rsidRPr="00065C5C" w:rsidRDefault="00B36543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Decimos a continuación las fechas de los siguientes encuentros transnacionales que serán  del 4-9 de noviembre de 2019 en Canarias y del 17-22 de abril de 2010 en Catania. Por otro lado  estamos todos de acuerdo en  ampliar el n</w:t>
      </w:r>
      <w:r w:rsidR="003E516E" w:rsidRPr="00065C5C">
        <w:rPr>
          <w:rFonts w:ascii="Century Gothic" w:hAnsi="Century Gothic"/>
        </w:rPr>
        <w:t xml:space="preserve">úmero de alumnos por </w:t>
      </w:r>
      <w:proofErr w:type="gramStart"/>
      <w:r w:rsidR="003E516E" w:rsidRPr="00065C5C">
        <w:rPr>
          <w:rFonts w:ascii="Century Gothic" w:hAnsi="Century Gothic"/>
        </w:rPr>
        <w:t>movilidad ,</w:t>
      </w:r>
      <w:r w:rsidRPr="00065C5C">
        <w:rPr>
          <w:rFonts w:ascii="Century Gothic" w:hAnsi="Century Gothic"/>
        </w:rPr>
        <w:t>si</w:t>
      </w:r>
      <w:proofErr w:type="gramEnd"/>
      <w:r w:rsidRPr="00065C5C">
        <w:rPr>
          <w:rFonts w:ascii="Century Gothic" w:hAnsi="Century Gothic"/>
        </w:rPr>
        <w:t xml:space="preserve"> el presupuesto lo </w:t>
      </w:r>
      <w:r w:rsidR="003E516E" w:rsidRPr="00065C5C">
        <w:rPr>
          <w:rFonts w:ascii="Century Gothic" w:hAnsi="Century Gothic"/>
        </w:rPr>
        <w:t>permite,</w:t>
      </w:r>
      <w:r w:rsidRPr="00065C5C">
        <w:rPr>
          <w:rFonts w:ascii="Century Gothic" w:hAnsi="Century Gothic"/>
        </w:rPr>
        <w:t xml:space="preserve"> para que sea el mayor número de alumnos los que se beneficien de la formación de los encuentros transnacionales.</w:t>
      </w:r>
    </w:p>
    <w:p w:rsidR="003E516E" w:rsidRPr="00065C5C" w:rsidRDefault="003E516E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Para la siguiente reunión del jueves 13 de de diciembre nos centraremos en las actividades a realizar en los siguientes encuentros.</w:t>
      </w:r>
    </w:p>
    <w:p w:rsidR="003E516E" w:rsidRPr="00065C5C" w:rsidRDefault="003E516E" w:rsidP="0027097A">
      <w:pPr>
        <w:pStyle w:val="Prrafodelista"/>
        <w:spacing w:after="0"/>
        <w:rPr>
          <w:rFonts w:ascii="Century Gothic" w:hAnsi="Century Gothic"/>
        </w:rPr>
      </w:pPr>
    </w:p>
    <w:p w:rsidR="003E516E" w:rsidRPr="00065C5C" w:rsidRDefault="003E516E" w:rsidP="0027097A">
      <w:pPr>
        <w:pStyle w:val="Prrafodelista"/>
        <w:spacing w:after="0"/>
        <w:rPr>
          <w:rFonts w:ascii="Century Gothic" w:hAnsi="Century Gothic"/>
        </w:rPr>
      </w:pPr>
      <w:r w:rsidRPr="00065C5C">
        <w:rPr>
          <w:rFonts w:ascii="Century Gothic" w:hAnsi="Century Gothic"/>
        </w:rPr>
        <w:t>A las 14,30 h damos por terminada la primera reunión de profesor</w:t>
      </w:r>
      <w:r w:rsidR="00065C5C" w:rsidRPr="00065C5C">
        <w:rPr>
          <w:rFonts w:ascii="Century Gothic" w:hAnsi="Century Gothic"/>
        </w:rPr>
        <w:t>es.</w:t>
      </w:r>
    </w:p>
    <w:p w:rsidR="00B36543" w:rsidRPr="00065C5C" w:rsidRDefault="00B36543" w:rsidP="0027097A">
      <w:pPr>
        <w:pStyle w:val="Prrafodelista"/>
        <w:spacing w:after="0"/>
        <w:rPr>
          <w:rFonts w:ascii="Century Gothic" w:hAnsi="Century Gothic"/>
        </w:rPr>
      </w:pPr>
    </w:p>
    <w:p w:rsidR="00B36543" w:rsidRDefault="00B36543" w:rsidP="0027097A">
      <w:pPr>
        <w:pStyle w:val="Prrafodelista"/>
        <w:spacing w:after="0"/>
        <w:rPr>
          <w:rFonts w:ascii="Century Gothic" w:hAnsi="Century Gothic"/>
        </w:rPr>
      </w:pPr>
    </w:p>
    <w:p w:rsidR="0027097A" w:rsidRDefault="0027097A" w:rsidP="0027097A">
      <w:pPr>
        <w:pStyle w:val="Prrafodelista"/>
        <w:spacing w:after="0"/>
        <w:rPr>
          <w:rFonts w:ascii="Century Gothic" w:hAnsi="Century Gothic"/>
        </w:rPr>
      </w:pPr>
    </w:p>
    <w:p w:rsidR="0027097A" w:rsidRDefault="00065C5C" w:rsidP="00065C5C">
      <w:pPr>
        <w:pStyle w:val="Prrafodelista"/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 11 de diciembre de 2018</w:t>
      </w:r>
    </w:p>
    <w:p w:rsidR="007D2CE8" w:rsidRPr="00C17279" w:rsidRDefault="007D2CE8" w:rsidP="0027097A">
      <w:pPr>
        <w:pStyle w:val="Prrafodelist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D0951" w:rsidRPr="00C17279" w:rsidRDefault="00BD0951">
      <w:pPr>
        <w:rPr>
          <w:rFonts w:ascii="Century Gothic" w:hAnsi="Century Gothic"/>
        </w:rPr>
      </w:pPr>
    </w:p>
    <w:p w:rsidR="00BD0951" w:rsidRDefault="00BD0951">
      <w:pPr>
        <w:rPr>
          <w:rFonts w:ascii="Century Gothic" w:hAnsi="Century Gothic"/>
        </w:rPr>
      </w:pPr>
    </w:p>
    <w:p w:rsidR="00BD0951" w:rsidRDefault="00BD0951">
      <w:pPr>
        <w:rPr>
          <w:rFonts w:ascii="Century Gothic" w:hAnsi="Century Gothic"/>
        </w:rPr>
      </w:pPr>
    </w:p>
    <w:sectPr w:rsidR="00BD0951" w:rsidSect="00E3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6CC"/>
    <w:multiLevelType w:val="hybridMultilevel"/>
    <w:tmpl w:val="4F668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37A"/>
    <w:multiLevelType w:val="hybridMultilevel"/>
    <w:tmpl w:val="34C84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149"/>
    <w:multiLevelType w:val="hybridMultilevel"/>
    <w:tmpl w:val="E36E7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025CE"/>
    <w:rsid w:val="00065C5C"/>
    <w:rsid w:val="001275BA"/>
    <w:rsid w:val="001438E5"/>
    <w:rsid w:val="00191628"/>
    <w:rsid w:val="00192BA4"/>
    <w:rsid w:val="001B3FE9"/>
    <w:rsid w:val="0027097A"/>
    <w:rsid w:val="002F74F4"/>
    <w:rsid w:val="003E516E"/>
    <w:rsid w:val="005A68E9"/>
    <w:rsid w:val="007D2CE8"/>
    <w:rsid w:val="00823F64"/>
    <w:rsid w:val="00A55292"/>
    <w:rsid w:val="00A7770D"/>
    <w:rsid w:val="00A82025"/>
    <w:rsid w:val="00B025CE"/>
    <w:rsid w:val="00B36543"/>
    <w:rsid w:val="00BD0951"/>
    <w:rsid w:val="00C17279"/>
    <w:rsid w:val="00CE7EB5"/>
    <w:rsid w:val="00E1201B"/>
    <w:rsid w:val="00E37D57"/>
    <w:rsid w:val="00F5169F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25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D57"/>
  </w:style>
  <w:style w:type="paragraph" w:styleId="Textodeglobo">
    <w:name w:val="Balloon Text"/>
    <w:basedOn w:val="Normal"/>
    <w:link w:val="TextodegloboCar"/>
    <w:uiPriority w:val="99"/>
    <w:semiHidden/>
    <w:unhideWhenUsed/>
    <w:rsid w:val="00BD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9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74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vivenciaaguasvivas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4</cp:revision>
  <cp:lastPrinted>2018-09-18T07:51:00Z</cp:lastPrinted>
  <dcterms:created xsi:type="dcterms:W3CDTF">2018-12-11T17:14:00Z</dcterms:created>
  <dcterms:modified xsi:type="dcterms:W3CDTF">2018-12-11T18:40:00Z</dcterms:modified>
</cp:coreProperties>
</file>