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1C5C0" w14:textId="43A947D4" w:rsidR="005B78C9" w:rsidRDefault="005B78C9" w:rsidP="005B78C9">
      <w:pPr>
        <w:jc w:val="center"/>
        <w:rPr>
          <w:rFonts w:ascii="Rockwell" w:eastAsia="+mj-ea" w:hAnsi="Rockwell" w:cs="+mj-cs"/>
          <w:b/>
          <w:bCs/>
          <w:caps/>
          <w:kern w:val="24"/>
          <w:sz w:val="24"/>
          <w:szCs w:val="24"/>
          <w14:shadow w14:blurRad="50800" w14:dist="63500" w14:dir="2700000" w14:sx="100000" w14:sy="100000" w14:kx="0" w14:ky="0" w14:algn="tl">
            <w14:srgbClr w14:val="000000">
              <w14:alpha w14:val="52000"/>
            </w14:srgbClr>
          </w14:shadow>
        </w:rPr>
      </w:pPr>
      <w:bookmarkStart w:id="0" w:name="_GoBack"/>
      <w:bookmarkEnd w:id="0"/>
      <w:r w:rsidRPr="005B78C9">
        <w:rPr>
          <w:rFonts w:ascii="Rockwell" w:eastAsia="+mj-ea" w:hAnsi="Rockwell" w:cs="+mj-cs"/>
          <w:b/>
          <w:bCs/>
          <w:caps/>
          <w:kern w:val="24"/>
          <w:sz w:val="24"/>
          <w:szCs w:val="24"/>
          <w14:shadow w14:blurRad="50800" w14:dist="63500" w14:dir="2700000" w14:sx="100000" w14:sy="100000" w14:kx="0" w14:ky="0" w14:algn="tl">
            <w14:srgbClr w14:val="000000">
              <w14:alpha w14:val="52000"/>
            </w14:srgbClr>
          </w14:shadow>
        </w:rPr>
        <w:t>The Act of Reinstating Independence of Lithuania</w:t>
      </w:r>
    </w:p>
    <w:p w14:paraId="5E0F41CC" w14:textId="77777777" w:rsidR="000072E6" w:rsidRDefault="000072E6" w:rsidP="005B78C9">
      <w:pPr>
        <w:jc w:val="center"/>
        <w:rPr>
          <w:rFonts w:ascii="Rockwell" w:eastAsia="+mj-ea" w:hAnsi="Rockwell" w:cs="+mj-cs"/>
          <w:b/>
          <w:bCs/>
          <w:caps/>
          <w:kern w:val="24"/>
          <w:sz w:val="24"/>
          <w:szCs w:val="24"/>
          <w14:shadow w14:blurRad="50800" w14:dist="63500" w14:dir="2700000" w14:sx="100000" w14:sy="100000" w14:kx="0" w14:ky="0" w14:algn="tl">
            <w14:srgbClr w14:val="000000">
              <w14:alpha w14:val="52000"/>
            </w14:srgbClr>
          </w14:shadow>
        </w:rPr>
      </w:pPr>
    </w:p>
    <w:p w14:paraId="79582F14" w14:textId="471306A1" w:rsidR="000072E6" w:rsidRDefault="000072E6" w:rsidP="005B78C9">
      <w:pPr>
        <w:jc w:val="center"/>
        <w:rPr>
          <w:rFonts w:ascii="Rockwell" w:eastAsia="+mj-ea" w:hAnsi="Rockwell" w:cs="+mj-cs"/>
          <w:b/>
          <w:bCs/>
          <w:caps/>
          <w:kern w:val="24"/>
          <w:sz w:val="24"/>
          <w:szCs w:val="24"/>
          <w14:shadow w14:blurRad="50800" w14:dist="63500" w14:dir="2700000" w14:sx="100000" w14:sy="100000" w14:kx="0" w14:ky="0" w14:algn="tl">
            <w14:srgbClr w14:val="000000">
              <w14:alpha w14:val="52000"/>
            </w14:srgbClr>
          </w14:shadow>
        </w:rPr>
      </w:pPr>
      <w:r>
        <w:rPr>
          <w:rFonts w:ascii="Rockwell" w:eastAsia="+mj-ea" w:hAnsi="Rockwell" w:cs="+mj-cs"/>
          <w:b/>
          <w:bCs/>
          <w:caps/>
          <w:kern w:val="24"/>
          <w:sz w:val="24"/>
          <w:szCs w:val="24"/>
          <w14:shadow w14:blurRad="50800" w14:dist="63500" w14:dir="2700000" w14:sx="100000" w14:sy="100000" w14:kx="0" w14:ky="0" w14:algn="tl">
            <w14:srgbClr w14:val="000000">
              <w14:alpha w14:val="52000"/>
            </w14:srgbClr>
          </w14:shadow>
        </w:rPr>
        <w:t>Let me tell you about the act of reinstating independence of lithuania</w:t>
      </w:r>
    </w:p>
    <w:p w14:paraId="3FF22BC6" w14:textId="77777777" w:rsidR="000072E6" w:rsidRDefault="000072E6" w:rsidP="005B78C9">
      <w:pPr>
        <w:jc w:val="center"/>
        <w:rPr>
          <w:rFonts w:ascii="Rockwell" w:eastAsia="+mj-ea" w:hAnsi="Rockwell" w:cs="+mj-cs"/>
          <w:b/>
          <w:bCs/>
          <w:caps/>
          <w:kern w:val="24"/>
          <w:sz w:val="24"/>
          <w:szCs w:val="24"/>
          <w14:shadow w14:blurRad="50800" w14:dist="63500" w14:dir="2700000" w14:sx="100000" w14:sy="100000" w14:kx="0" w14:ky="0" w14:algn="tl">
            <w14:srgbClr w14:val="000000">
              <w14:alpha w14:val="52000"/>
            </w14:srgbClr>
          </w14:shadow>
        </w:rPr>
      </w:pPr>
    </w:p>
    <w:p w14:paraId="48862A3D" w14:textId="77777777" w:rsidR="000072E6" w:rsidRPr="005B78C9" w:rsidRDefault="000072E6" w:rsidP="005B78C9">
      <w:pPr>
        <w:jc w:val="center"/>
        <w:rPr>
          <w:rFonts w:ascii="Rockwell" w:eastAsia="+mj-ea" w:hAnsi="Rockwell" w:cs="+mj-cs"/>
          <w:b/>
          <w:bCs/>
          <w:caps/>
          <w:kern w:val="24"/>
          <w:sz w:val="24"/>
          <w:szCs w:val="24"/>
          <w14:shadow w14:blurRad="50800" w14:dist="63500" w14:dir="2700000" w14:sx="100000" w14:sy="100000" w14:kx="0" w14:ky="0" w14:algn="tl">
            <w14:srgbClr w14:val="000000">
              <w14:alpha w14:val="52000"/>
            </w14:srgbClr>
          </w14:shadow>
        </w:rPr>
      </w:pPr>
    </w:p>
    <w:p w14:paraId="64E575AE" w14:textId="0D75E0DA" w:rsidR="006E2D42" w:rsidRPr="006E2D42" w:rsidRDefault="006E2D42" w:rsidP="006E2D42">
      <w:pPr>
        <w:ind w:left="360"/>
        <w:jc w:val="both"/>
        <w:rPr>
          <w:rFonts w:ascii="Rockwell" w:hAnsi="Rockwell"/>
          <w:noProof/>
          <w:sz w:val="24"/>
          <w:szCs w:val="24"/>
        </w:rPr>
      </w:pPr>
      <w:r w:rsidRPr="005B78C9">
        <w:rPr>
          <w:rFonts w:ascii="Rockwell" w:hAnsi="Rockwell"/>
          <w:b/>
          <w:noProof/>
          <w:sz w:val="24"/>
          <w:szCs w:val="24"/>
          <w:lang w:val="en-GB" w:eastAsia="en-GB"/>
        </w:rPr>
        <w:drawing>
          <wp:anchor distT="0" distB="0" distL="114300" distR="114300" simplePos="0" relativeHeight="251659264" behindDoc="0" locked="0" layoutInCell="1" allowOverlap="1" wp14:anchorId="142598BF" wp14:editId="672E7706">
            <wp:simplePos x="0" y="0"/>
            <wp:positionH relativeFrom="margin">
              <wp:posOffset>3831378</wp:posOffset>
            </wp:positionH>
            <wp:positionV relativeFrom="paragraph">
              <wp:posOffset>997161</wp:posOffset>
            </wp:positionV>
            <wp:extent cx="2972503" cy="2147869"/>
            <wp:effectExtent l="171450" t="152400" r="151765" b="195580"/>
            <wp:wrapSquare wrapText="bothSides"/>
            <wp:docPr id="3074" name="Picture 2" descr="https://upload.wikimedia.org/wikipedia/commons/thumb/2/20/Signatarai.Signatories_of_Lithuania.jpg/250px-Signatarai.Signatories_of_Lithuania.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1ABCFD-B98E-4EFE-9C62-D00BF1E5A4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upload.wikimedia.org/wikipedia/commons/thumb/2/20/Signatarai.Signatories_of_Lithuania.jpg/250px-Signatarai.Signatories_of_Lithuania.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1ABCFD-B98E-4EFE-9C62-D00BF1E5A470}"/>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253" r="1" b="1"/>
                    <a:stretch/>
                  </pic:blipFill>
                  <pic:spPr bwMode="auto">
                    <a:xfrm>
                      <a:off x="0" y="0"/>
                      <a:ext cx="2972503" cy="2147869"/>
                    </a:xfrm>
                    <a:prstGeom prst="rect">
                      <a:avLst/>
                    </a:prstGeom>
                    <a:noFill/>
                    <a:ln w="190500" cap="sq">
                      <a:solidFill>
                        <a:srgbClr val="FFFFFF"/>
                      </a:solidFill>
                      <a:miter lim="800000"/>
                    </a:ln>
                    <a:effectLst>
                      <a:outerShdw blurRad="54991" dist="17780" dir="5400000" algn="ctr" rotWithShape="0">
                        <a:schemeClr val="bg1">
                          <a:alpha val="40000"/>
                        </a:schemeClr>
                      </a:outerShdw>
                    </a:effectLst>
                    <a:scene3d>
                      <a:camera prst="orthographicFront"/>
                      <a:lightRig rig="twoPt" dir="t">
                        <a:rot lat="0" lon="0" rev="7200000"/>
                      </a:lightRig>
                    </a:scene3d>
                    <a:sp3d>
                      <a:bevelT w="25400" h="19050"/>
                    </a:sp3d>
                    <a:extLst/>
                  </pic:spPr>
                </pic:pic>
              </a:graphicData>
            </a:graphic>
            <wp14:sizeRelH relativeFrom="margin">
              <wp14:pctWidth>0</wp14:pctWidth>
            </wp14:sizeRelH>
            <wp14:sizeRelV relativeFrom="margin">
              <wp14:pctHeight>0</wp14:pctHeight>
            </wp14:sizeRelV>
          </wp:anchor>
        </w:drawing>
      </w:r>
      <w:r w:rsidRPr="006E2D42">
        <w:rPr>
          <w:rFonts w:ascii="Rockwell" w:hAnsi="Rockwell"/>
          <w:noProof/>
          <w:sz w:val="24"/>
          <w:szCs w:val="24"/>
        </w:rPr>
        <w:t>The Act of Reinstating Independence of Lithuania or Act of 16 February was signed by the Council of Lithuania on 16 February 1918, proclaiming the restoration of an independent State of Lithuania, governed by democratic principles, with Vilnius as its capital. The Act was signed by all twenty representatives of the Council, which was chaired by Jonas Basanavi</w:t>
      </w:r>
      <w:r w:rsidRPr="006E2D42">
        <w:rPr>
          <w:rFonts w:ascii="Cambria" w:hAnsi="Cambria" w:cs="Cambria"/>
          <w:noProof/>
          <w:sz w:val="24"/>
          <w:szCs w:val="24"/>
        </w:rPr>
        <w:t>č</w:t>
      </w:r>
      <w:r w:rsidRPr="006E2D42">
        <w:rPr>
          <w:rFonts w:ascii="Rockwell" w:hAnsi="Rockwell"/>
          <w:noProof/>
          <w:sz w:val="24"/>
          <w:szCs w:val="24"/>
        </w:rPr>
        <w:t>ius. The path to the Act was long and complex because the German Empire exerted pressure on the Council to form an alliance. The Council had to carefully maneuver between the Germans, whose troops were present in Lithuania, and the demands of the Lithuanian people.</w:t>
      </w:r>
    </w:p>
    <w:p w14:paraId="51E071DF" w14:textId="0C3DA1C0" w:rsidR="006E2D42" w:rsidRPr="006E2D42" w:rsidRDefault="006E2D42" w:rsidP="006E2D42">
      <w:pPr>
        <w:pStyle w:val="ListParagraph"/>
        <w:jc w:val="both"/>
        <w:rPr>
          <w:rFonts w:ascii="Rockwell" w:hAnsi="Rockwell"/>
          <w:noProof/>
          <w:sz w:val="24"/>
          <w:szCs w:val="24"/>
        </w:rPr>
      </w:pPr>
    </w:p>
    <w:p w14:paraId="2A7D53CD" w14:textId="49080B3B" w:rsidR="006E2D42" w:rsidRPr="006E2D42" w:rsidRDefault="006E2D42" w:rsidP="006E2D42">
      <w:pPr>
        <w:ind w:left="360"/>
        <w:jc w:val="both"/>
        <w:rPr>
          <w:rFonts w:ascii="Rockwell" w:hAnsi="Rockwell"/>
          <w:noProof/>
          <w:sz w:val="24"/>
          <w:szCs w:val="24"/>
        </w:rPr>
      </w:pPr>
      <w:r w:rsidRPr="006E2D42">
        <w:rPr>
          <w:rFonts w:ascii="Rockwell" w:hAnsi="Rockwell"/>
          <w:noProof/>
          <w:sz w:val="24"/>
          <w:szCs w:val="24"/>
        </w:rPr>
        <w:t>The immediate effects of the announcement of Lithuania's re-establishment of independence were limited. Publication of the Act was prohibited by the German authorities, and the text was distributed and printed illegally. The work of the Council was hindered, and Germans remained in control over Lithuania</w:t>
      </w:r>
      <w:r>
        <w:rPr>
          <w:rFonts w:ascii="Rockwell" w:hAnsi="Rockwell"/>
          <w:noProof/>
          <w:sz w:val="24"/>
          <w:szCs w:val="24"/>
        </w:rPr>
        <w:t>.</w:t>
      </w:r>
      <w:r w:rsidRPr="006E2D42">
        <w:rPr>
          <w:rFonts w:ascii="Rockwell" w:hAnsi="Rockwell"/>
          <w:noProof/>
          <w:sz w:val="24"/>
          <w:szCs w:val="24"/>
        </w:rPr>
        <w:t xml:space="preserve"> The situation changed only when Germany lost World War I in the fall of 1918. In November 1918 the first Cabinet of Lithuania was formed, and the Council of Lithuania gained control over the territory of Lithuania</w:t>
      </w:r>
      <w:r>
        <w:rPr>
          <w:rFonts w:ascii="Rockwell" w:hAnsi="Rockwell"/>
          <w:noProof/>
          <w:sz w:val="24"/>
          <w:szCs w:val="24"/>
        </w:rPr>
        <w:t>.</w:t>
      </w:r>
      <w:r w:rsidRPr="006E2D42">
        <w:rPr>
          <w:rFonts w:ascii="Rockwell" w:hAnsi="Rockwell"/>
          <w:noProof/>
          <w:sz w:val="24"/>
          <w:szCs w:val="24"/>
        </w:rPr>
        <w:t xml:space="preserve"> Independent Lithuania, although it would soon be battling the Wars of Independence, became a reality.</w:t>
      </w:r>
    </w:p>
    <w:p w14:paraId="2504A682" w14:textId="6D726601" w:rsidR="006E2D42" w:rsidRPr="006E2D42" w:rsidRDefault="006E2D42" w:rsidP="006E2D42">
      <w:pPr>
        <w:ind w:left="360"/>
        <w:jc w:val="both"/>
        <w:rPr>
          <w:rFonts w:ascii="Rockwell" w:hAnsi="Rockwell"/>
          <w:noProof/>
          <w:sz w:val="24"/>
          <w:szCs w:val="24"/>
        </w:rPr>
      </w:pPr>
    </w:p>
    <w:p w14:paraId="3E748432" w14:textId="3FDE24CF" w:rsidR="006E2D42" w:rsidRPr="006E2D42" w:rsidRDefault="006E2D42" w:rsidP="006E2D42">
      <w:pPr>
        <w:ind w:left="360"/>
        <w:jc w:val="both"/>
        <w:rPr>
          <w:rFonts w:ascii="Rockwell" w:hAnsi="Rockwell"/>
          <w:noProof/>
          <w:sz w:val="24"/>
          <w:szCs w:val="24"/>
        </w:rPr>
      </w:pPr>
      <w:r w:rsidRPr="006E2D42">
        <w:rPr>
          <w:rFonts w:ascii="Rockwell" w:hAnsi="Rockwell"/>
          <w:noProof/>
          <w:sz w:val="24"/>
          <w:szCs w:val="24"/>
        </w:rPr>
        <w:t>The laconic Act is the legal basis for the existence of modern Lithuania, both during the interwar period and since 1990</w:t>
      </w:r>
      <w:r>
        <w:rPr>
          <w:rFonts w:ascii="Rockwell" w:hAnsi="Rockwell"/>
          <w:noProof/>
          <w:sz w:val="24"/>
          <w:szCs w:val="24"/>
        </w:rPr>
        <w:t>.</w:t>
      </w:r>
      <w:r w:rsidRPr="006E2D42">
        <w:rPr>
          <w:rFonts w:ascii="Rockwell" w:hAnsi="Rockwell"/>
          <w:noProof/>
          <w:sz w:val="24"/>
          <w:szCs w:val="24"/>
        </w:rPr>
        <w:t xml:space="preserve"> The Act formulated the basic constitutional principles that were and still are followed by all Constitutions of Lithuania. The Act itself was a key element in the foundation of Lithuania's re-establishment of independence in 1990</w:t>
      </w:r>
      <w:r>
        <w:rPr>
          <w:rFonts w:ascii="Rockwell" w:hAnsi="Rockwell"/>
          <w:noProof/>
          <w:sz w:val="24"/>
          <w:szCs w:val="24"/>
        </w:rPr>
        <w:t>.</w:t>
      </w:r>
      <w:r w:rsidRPr="006E2D42">
        <w:rPr>
          <w:rFonts w:ascii="Rockwell" w:hAnsi="Rockwell"/>
          <w:noProof/>
          <w:sz w:val="24"/>
          <w:szCs w:val="24"/>
        </w:rPr>
        <w:t xml:space="preserve"> Lithuania, breaking away from the Soviet Union, stressed that it was simply re-establishing the independent state that existed between the world wars and that the Act never lost its legal power</w:t>
      </w:r>
      <w:r>
        <w:rPr>
          <w:rFonts w:ascii="Rockwell" w:hAnsi="Rockwell"/>
          <w:noProof/>
          <w:sz w:val="24"/>
          <w:szCs w:val="24"/>
        </w:rPr>
        <w:t>.</w:t>
      </w:r>
    </w:p>
    <w:p w14:paraId="17004A22" w14:textId="4B808E13" w:rsidR="006E2D42" w:rsidRPr="006E2D42" w:rsidRDefault="006E2D42" w:rsidP="006E2D42">
      <w:pPr>
        <w:ind w:left="360"/>
        <w:jc w:val="both"/>
        <w:rPr>
          <w:rFonts w:ascii="Rockwell" w:hAnsi="Rockwell"/>
          <w:noProof/>
          <w:sz w:val="24"/>
          <w:szCs w:val="24"/>
        </w:rPr>
      </w:pPr>
    </w:p>
    <w:p w14:paraId="4A444D07" w14:textId="5510CB73" w:rsidR="005B78C9" w:rsidRPr="006E2D42" w:rsidRDefault="006E2D42" w:rsidP="006E2D42">
      <w:pPr>
        <w:ind w:left="360"/>
        <w:jc w:val="both"/>
        <w:rPr>
          <w:rFonts w:ascii="Rockwell" w:hAnsi="Rockwell"/>
          <w:sz w:val="24"/>
          <w:szCs w:val="24"/>
        </w:rPr>
      </w:pPr>
      <w:r w:rsidRPr="006E2D42">
        <w:rPr>
          <w:rFonts w:ascii="Rockwell" w:hAnsi="Rockwell"/>
          <w:noProof/>
          <w:sz w:val="24"/>
          <w:szCs w:val="24"/>
        </w:rPr>
        <w:t>On 29 March 2017, the original document was found at the Diplomatic archive in Berlin, Germany.</w:t>
      </w:r>
      <w:r w:rsidR="005B78C9" w:rsidRPr="006E2D42">
        <w:rPr>
          <w:rFonts w:ascii="Rockwell" w:hAnsi="Rockwell"/>
          <w:sz w:val="24"/>
          <w:szCs w:val="24"/>
        </w:rPr>
        <w:t>.</w:t>
      </w:r>
    </w:p>
    <w:p w14:paraId="49DC6C2F" w14:textId="5C33B0EF" w:rsidR="005B78C9" w:rsidRDefault="005B78C9" w:rsidP="005B78C9">
      <w:pPr>
        <w:rPr>
          <w:rFonts w:ascii="Rockwell" w:hAnsi="Rockwell"/>
          <w:sz w:val="24"/>
          <w:szCs w:val="24"/>
        </w:rPr>
      </w:pPr>
    </w:p>
    <w:p w14:paraId="1CA49486" w14:textId="01A88798" w:rsidR="005B78C9" w:rsidRDefault="005B78C9" w:rsidP="005B78C9">
      <w:pPr>
        <w:jc w:val="both"/>
        <w:rPr>
          <w:rFonts w:ascii="Rockwell" w:hAnsi="Rockwell"/>
          <w:sz w:val="24"/>
          <w:szCs w:val="24"/>
        </w:rPr>
      </w:pPr>
    </w:p>
    <w:p w14:paraId="39667AAE" w14:textId="2B7D4259" w:rsidR="005B78C9" w:rsidRDefault="005B78C9" w:rsidP="005B78C9">
      <w:pPr>
        <w:jc w:val="both"/>
        <w:rPr>
          <w:rFonts w:ascii="Rockwell" w:hAnsi="Rockwell"/>
          <w:sz w:val="24"/>
          <w:szCs w:val="24"/>
        </w:rPr>
      </w:pPr>
    </w:p>
    <w:p w14:paraId="7F672D2A" w14:textId="343CA67C" w:rsidR="005B78C9" w:rsidRDefault="005B78C9" w:rsidP="005B78C9">
      <w:pPr>
        <w:jc w:val="both"/>
        <w:rPr>
          <w:rFonts w:ascii="Rockwell" w:hAnsi="Rockwell"/>
          <w:sz w:val="24"/>
          <w:szCs w:val="24"/>
        </w:rPr>
      </w:pPr>
    </w:p>
    <w:p w14:paraId="06B3EB2A" w14:textId="1125FC99" w:rsidR="005B78C9" w:rsidRPr="005B78C9" w:rsidRDefault="000072E6" w:rsidP="005B78C9">
      <w:pPr>
        <w:jc w:val="right"/>
        <w:rPr>
          <w:rFonts w:ascii="Rockwell" w:hAnsi="Rockwell"/>
          <w:sz w:val="24"/>
          <w:szCs w:val="24"/>
        </w:rPr>
      </w:pPr>
      <w:r>
        <w:rPr>
          <w:rFonts w:ascii="Rockwell" w:hAnsi="Rockwell"/>
          <w:sz w:val="24"/>
          <w:szCs w:val="24"/>
        </w:rPr>
        <w:lastRenderedPageBreak/>
        <w:t xml:space="preserve">Nojus </w:t>
      </w:r>
    </w:p>
    <w:sectPr w:rsidR="005B78C9" w:rsidRPr="005B78C9" w:rsidSect="006E2D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Times New Roman"/>
    <w:charset w:val="00"/>
    <w:family w:val="roman"/>
    <w:pitch w:val="variable"/>
    <w:sig w:usb0="00000001" w:usb1="00000000" w:usb2="00000000" w:usb3="00000000" w:csb0="00000003"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5563F"/>
    <w:multiLevelType w:val="hybridMultilevel"/>
    <w:tmpl w:val="0F3A74D0"/>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 w15:restartNumberingAfterBreak="0">
    <w:nsid w:val="3F0E2CD7"/>
    <w:multiLevelType w:val="hybridMultilevel"/>
    <w:tmpl w:val="DE667E9E"/>
    <w:lvl w:ilvl="0" w:tplc="10000001">
      <w:start w:val="1"/>
      <w:numFmt w:val="bullet"/>
      <w:lvlText w:val=""/>
      <w:lvlJc w:val="left"/>
      <w:pPr>
        <w:ind w:left="1440" w:hanging="360"/>
      </w:pPr>
      <w:rPr>
        <w:rFonts w:ascii="Symbol" w:hAnsi="Symbol"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 w15:restartNumberingAfterBreak="0">
    <w:nsid w:val="3FFB4489"/>
    <w:multiLevelType w:val="hybridMultilevel"/>
    <w:tmpl w:val="E71A6F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507F50AB"/>
    <w:multiLevelType w:val="hybridMultilevel"/>
    <w:tmpl w:val="E092F25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570D50C2"/>
    <w:multiLevelType w:val="hybridMultilevel"/>
    <w:tmpl w:val="EB745AB0"/>
    <w:lvl w:ilvl="0" w:tplc="768AF200">
      <w:start w:val="1"/>
      <w:numFmt w:val="bullet"/>
      <w:lvlText w:val="•"/>
      <w:lvlJc w:val="left"/>
      <w:pPr>
        <w:tabs>
          <w:tab w:val="num" w:pos="720"/>
        </w:tabs>
        <w:ind w:left="720" w:hanging="360"/>
      </w:pPr>
      <w:rPr>
        <w:rFonts w:ascii="Arial" w:hAnsi="Arial" w:hint="default"/>
      </w:rPr>
    </w:lvl>
    <w:lvl w:ilvl="1" w:tplc="79682046" w:tentative="1">
      <w:start w:val="1"/>
      <w:numFmt w:val="bullet"/>
      <w:lvlText w:val="•"/>
      <w:lvlJc w:val="left"/>
      <w:pPr>
        <w:tabs>
          <w:tab w:val="num" w:pos="1440"/>
        </w:tabs>
        <w:ind w:left="1440" w:hanging="360"/>
      </w:pPr>
      <w:rPr>
        <w:rFonts w:ascii="Arial" w:hAnsi="Arial" w:hint="default"/>
      </w:rPr>
    </w:lvl>
    <w:lvl w:ilvl="2" w:tplc="A90CCA22" w:tentative="1">
      <w:start w:val="1"/>
      <w:numFmt w:val="bullet"/>
      <w:lvlText w:val="•"/>
      <w:lvlJc w:val="left"/>
      <w:pPr>
        <w:tabs>
          <w:tab w:val="num" w:pos="2160"/>
        </w:tabs>
        <w:ind w:left="2160" w:hanging="360"/>
      </w:pPr>
      <w:rPr>
        <w:rFonts w:ascii="Arial" w:hAnsi="Arial" w:hint="default"/>
      </w:rPr>
    </w:lvl>
    <w:lvl w:ilvl="3" w:tplc="122465F6" w:tentative="1">
      <w:start w:val="1"/>
      <w:numFmt w:val="bullet"/>
      <w:lvlText w:val="•"/>
      <w:lvlJc w:val="left"/>
      <w:pPr>
        <w:tabs>
          <w:tab w:val="num" w:pos="2880"/>
        </w:tabs>
        <w:ind w:left="2880" w:hanging="360"/>
      </w:pPr>
      <w:rPr>
        <w:rFonts w:ascii="Arial" w:hAnsi="Arial" w:hint="default"/>
      </w:rPr>
    </w:lvl>
    <w:lvl w:ilvl="4" w:tplc="F906DC42" w:tentative="1">
      <w:start w:val="1"/>
      <w:numFmt w:val="bullet"/>
      <w:lvlText w:val="•"/>
      <w:lvlJc w:val="left"/>
      <w:pPr>
        <w:tabs>
          <w:tab w:val="num" w:pos="3600"/>
        </w:tabs>
        <w:ind w:left="3600" w:hanging="360"/>
      </w:pPr>
      <w:rPr>
        <w:rFonts w:ascii="Arial" w:hAnsi="Arial" w:hint="default"/>
      </w:rPr>
    </w:lvl>
    <w:lvl w:ilvl="5" w:tplc="6852A9C8" w:tentative="1">
      <w:start w:val="1"/>
      <w:numFmt w:val="bullet"/>
      <w:lvlText w:val="•"/>
      <w:lvlJc w:val="left"/>
      <w:pPr>
        <w:tabs>
          <w:tab w:val="num" w:pos="4320"/>
        </w:tabs>
        <w:ind w:left="4320" w:hanging="360"/>
      </w:pPr>
      <w:rPr>
        <w:rFonts w:ascii="Arial" w:hAnsi="Arial" w:hint="default"/>
      </w:rPr>
    </w:lvl>
    <w:lvl w:ilvl="6" w:tplc="CED2C2BE" w:tentative="1">
      <w:start w:val="1"/>
      <w:numFmt w:val="bullet"/>
      <w:lvlText w:val="•"/>
      <w:lvlJc w:val="left"/>
      <w:pPr>
        <w:tabs>
          <w:tab w:val="num" w:pos="5040"/>
        </w:tabs>
        <w:ind w:left="5040" w:hanging="360"/>
      </w:pPr>
      <w:rPr>
        <w:rFonts w:ascii="Arial" w:hAnsi="Arial" w:hint="default"/>
      </w:rPr>
    </w:lvl>
    <w:lvl w:ilvl="7" w:tplc="A0D8EE2E" w:tentative="1">
      <w:start w:val="1"/>
      <w:numFmt w:val="bullet"/>
      <w:lvlText w:val="•"/>
      <w:lvlJc w:val="left"/>
      <w:pPr>
        <w:tabs>
          <w:tab w:val="num" w:pos="5760"/>
        </w:tabs>
        <w:ind w:left="5760" w:hanging="360"/>
      </w:pPr>
      <w:rPr>
        <w:rFonts w:ascii="Arial" w:hAnsi="Arial" w:hint="default"/>
      </w:rPr>
    </w:lvl>
    <w:lvl w:ilvl="8" w:tplc="1A1AC9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C9"/>
    <w:rsid w:val="000072E6"/>
    <w:rsid w:val="00106715"/>
    <w:rsid w:val="005B78C9"/>
    <w:rsid w:val="006817A5"/>
    <w:rsid w:val="006E2D42"/>
    <w:rsid w:val="009E2F1D"/>
    <w:rsid w:val="00DA7BDA"/>
    <w:rsid w:val="00F51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3D3F"/>
  <w15:docId w15:val="{650981B0-0F57-4BFE-8A06-8ED3DF81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C9"/>
    <w:pPr>
      <w:ind w:left="720"/>
      <w:contextualSpacing/>
    </w:pPr>
  </w:style>
  <w:style w:type="paragraph" w:styleId="BalloonText">
    <w:name w:val="Balloon Text"/>
    <w:basedOn w:val="Normal"/>
    <w:link w:val="BalloonTextChar"/>
    <w:uiPriority w:val="99"/>
    <w:semiHidden/>
    <w:unhideWhenUsed/>
    <w:rsid w:val="005B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46138">
      <w:bodyDiv w:val="1"/>
      <w:marLeft w:val="0"/>
      <w:marRight w:val="0"/>
      <w:marTop w:val="0"/>
      <w:marBottom w:val="0"/>
      <w:divBdr>
        <w:top w:val="none" w:sz="0" w:space="0" w:color="auto"/>
        <w:left w:val="none" w:sz="0" w:space="0" w:color="auto"/>
        <w:bottom w:val="none" w:sz="0" w:space="0" w:color="auto"/>
        <w:right w:val="none" w:sz="0" w:space="0" w:color="auto"/>
      </w:divBdr>
    </w:div>
    <w:div w:id="333152007">
      <w:bodyDiv w:val="1"/>
      <w:marLeft w:val="0"/>
      <w:marRight w:val="0"/>
      <w:marTop w:val="0"/>
      <w:marBottom w:val="0"/>
      <w:divBdr>
        <w:top w:val="none" w:sz="0" w:space="0" w:color="auto"/>
        <w:left w:val="none" w:sz="0" w:space="0" w:color="auto"/>
        <w:bottom w:val="none" w:sz="0" w:space="0" w:color="auto"/>
        <w:right w:val="none" w:sz="0" w:space="0" w:color="auto"/>
      </w:divBdr>
      <w:divsChild>
        <w:div w:id="1787926">
          <w:marLeft w:val="360"/>
          <w:marRight w:val="0"/>
          <w:marTop w:val="200"/>
          <w:marBottom w:val="0"/>
          <w:divBdr>
            <w:top w:val="none" w:sz="0" w:space="0" w:color="auto"/>
            <w:left w:val="none" w:sz="0" w:space="0" w:color="auto"/>
            <w:bottom w:val="none" w:sz="0" w:space="0" w:color="auto"/>
            <w:right w:val="none" w:sz="0" w:space="0" w:color="auto"/>
          </w:divBdr>
        </w:div>
        <w:div w:id="340935838">
          <w:marLeft w:val="360"/>
          <w:marRight w:val="0"/>
          <w:marTop w:val="200"/>
          <w:marBottom w:val="0"/>
          <w:divBdr>
            <w:top w:val="none" w:sz="0" w:space="0" w:color="auto"/>
            <w:left w:val="none" w:sz="0" w:space="0" w:color="auto"/>
            <w:bottom w:val="none" w:sz="0" w:space="0" w:color="auto"/>
            <w:right w:val="none" w:sz="0" w:space="0" w:color="auto"/>
          </w:divBdr>
        </w:div>
        <w:div w:id="1876309226">
          <w:marLeft w:val="360"/>
          <w:marRight w:val="0"/>
          <w:marTop w:val="200"/>
          <w:marBottom w:val="0"/>
          <w:divBdr>
            <w:top w:val="none" w:sz="0" w:space="0" w:color="auto"/>
            <w:left w:val="none" w:sz="0" w:space="0" w:color="auto"/>
            <w:bottom w:val="none" w:sz="0" w:space="0" w:color="auto"/>
            <w:right w:val="none" w:sz="0" w:space="0" w:color="auto"/>
          </w:divBdr>
        </w:div>
      </w:divsChild>
    </w:div>
    <w:div w:id="1251088234">
      <w:bodyDiv w:val="1"/>
      <w:marLeft w:val="0"/>
      <w:marRight w:val="0"/>
      <w:marTop w:val="0"/>
      <w:marBottom w:val="0"/>
      <w:divBdr>
        <w:top w:val="none" w:sz="0" w:space="0" w:color="auto"/>
        <w:left w:val="none" w:sz="0" w:space="0" w:color="auto"/>
        <w:bottom w:val="none" w:sz="0" w:space="0" w:color="auto"/>
        <w:right w:val="none" w:sz="0" w:space="0" w:color="auto"/>
      </w:divBdr>
      <w:divsChild>
        <w:div w:id="227150748">
          <w:marLeft w:val="360"/>
          <w:marRight w:val="0"/>
          <w:marTop w:val="200"/>
          <w:marBottom w:val="0"/>
          <w:divBdr>
            <w:top w:val="none" w:sz="0" w:space="0" w:color="auto"/>
            <w:left w:val="none" w:sz="0" w:space="0" w:color="auto"/>
            <w:bottom w:val="none" w:sz="0" w:space="0" w:color="auto"/>
            <w:right w:val="none" w:sz="0" w:space="0" w:color="auto"/>
          </w:divBdr>
        </w:div>
        <w:div w:id="165943104">
          <w:marLeft w:val="360"/>
          <w:marRight w:val="0"/>
          <w:marTop w:val="200"/>
          <w:marBottom w:val="0"/>
          <w:divBdr>
            <w:top w:val="none" w:sz="0" w:space="0" w:color="auto"/>
            <w:left w:val="none" w:sz="0" w:space="0" w:color="auto"/>
            <w:bottom w:val="none" w:sz="0" w:space="0" w:color="auto"/>
            <w:right w:val="none" w:sz="0" w:space="0" w:color="auto"/>
          </w:divBdr>
        </w:div>
        <w:div w:id="1756828121">
          <w:marLeft w:val="360"/>
          <w:marRight w:val="0"/>
          <w:marTop w:val="200"/>
          <w:marBottom w:val="0"/>
          <w:divBdr>
            <w:top w:val="none" w:sz="0" w:space="0" w:color="auto"/>
            <w:left w:val="none" w:sz="0" w:space="0" w:color="auto"/>
            <w:bottom w:val="none" w:sz="0" w:space="0" w:color="auto"/>
            <w:right w:val="none" w:sz="0" w:space="0" w:color="auto"/>
          </w:divBdr>
        </w:div>
      </w:divsChild>
    </w:div>
    <w:div w:id="1879734582">
      <w:bodyDiv w:val="1"/>
      <w:marLeft w:val="0"/>
      <w:marRight w:val="0"/>
      <w:marTop w:val="0"/>
      <w:marBottom w:val="0"/>
      <w:divBdr>
        <w:top w:val="none" w:sz="0" w:space="0" w:color="auto"/>
        <w:left w:val="none" w:sz="0" w:space="0" w:color="auto"/>
        <w:bottom w:val="none" w:sz="0" w:space="0" w:color="auto"/>
        <w:right w:val="none" w:sz="0" w:space="0" w:color="auto"/>
      </w:divBdr>
      <w:divsChild>
        <w:div w:id="1337028180">
          <w:marLeft w:val="360"/>
          <w:marRight w:val="0"/>
          <w:marTop w:val="200"/>
          <w:marBottom w:val="0"/>
          <w:divBdr>
            <w:top w:val="none" w:sz="0" w:space="0" w:color="auto"/>
            <w:left w:val="none" w:sz="0" w:space="0" w:color="auto"/>
            <w:bottom w:val="none" w:sz="0" w:space="0" w:color="auto"/>
            <w:right w:val="none" w:sz="0" w:space="0" w:color="auto"/>
          </w:divBdr>
        </w:div>
        <w:div w:id="15864972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CCC7-941F-4819-9D9B-60C51CD1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Tyrunas Jokubauskas</dc:creator>
  <cp:lastModifiedBy>Adam Hawkins</cp:lastModifiedBy>
  <cp:revision>2</cp:revision>
  <cp:lastPrinted>2019-03-21T16:27:00Z</cp:lastPrinted>
  <dcterms:created xsi:type="dcterms:W3CDTF">2019-07-03T09:46:00Z</dcterms:created>
  <dcterms:modified xsi:type="dcterms:W3CDTF">2019-07-03T09:46:00Z</dcterms:modified>
</cp:coreProperties>
</file>