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C32CA" w:rsidRDefault="00BF17EA">
      <w:pPr>
        <w:spacing w:before="240" w:after="240"/>
        <w:jc w:val="center"/>
        <w:rPr>
          <w:rFonts w:ascii="Verdana" w:eastAsia="Verdana" w:hAnsi="Verdana" w:cs="Verdana"/>
          <w:b/>
          <w:sz w:val="24"/>
          <w:szCs w:val="24"/>
        </w:rPr>
      </w:pPr>
      <w:r>
        <w:rPr>
          <w:rFonts w:ascii="Verdana" w:eastAsia="Verdana" w:hAnsi="Verdana" w:cs="Verdana"/>
          <w:b/>
          <w:sz w:val="24"/>
          <w:szCs w:val="24"/>
        </w:rPr>
        <w:t>Onderzoekscompetenties MT Frans-Engels-Duits</w:t>
      </w:r>
    </w:p>
    <w:p w14:paraId="00000002" w14:textId="77777777" w:rsidR="002C32CA" w:rsidRDefault="00BF17EA">
      <w:pPr>
        <w:spacing w:before="240" w:after="240"/>
        <w:jc w:val="center"/>
        <w:rPr>
          <w:rFonts w:ascii="Verdana" w:eastAsia="Verdana" w:hAnsi="Verdana" w:cs="Verdana"/>
          <w:b/>
          <w:sz w:val="24"/>
          <w:szCs w:val="24"/>
        </w:rPr>
      </w:pPr>
      <w:r>
        <w:rPr>
          <w:rFonts w:ascii="Verdana" w:eastAsia="Verdana" w:hAnsi="Verdana" w:cs="Verdana"/>
          <w:b/>
          <w:sz w:val="24"/>
          <w:szCs w:val="24"/>
        </w:rPr>
        <w:t>invuldocument linguïstisch onderzoek</w:t>
      </w:r>
    </w:p>
    <w:p w14:paraId="00000003" w14:textId="77777777" w:rsidR="002C32CA" w:rsidRDefault="00BF17EA">
      <w:pPr>
        <w:spacing w:before="240" w:after="240"/>
      </w:pPr>
      <w:r>
        <w:t xml:space="preserve"> </w:t>
      </w:r>
    </w:p>
    <w:p w14:paraId="00000004" w14:textId="77777777" w:rsidR="002C32CA" w:rsidRDefault="00BF17EA">
      <w:pPr>
        <w:spacing w:before="240" w:after="240"/>
        <w:rPr>
          <w:rFonts w:ascii="Verdana" w:eastAsia="Verdana" w:hAnsi="Verdana" w:cs="Verdana"/>
          <w:b/>
          <w:sz w:val="20"/>
          <w:szCs w:val="20"/>
        </w:rPr>
      </w:pPr>
      <w:r>
        <w:rPr>
          <w:rFonts w:ascii="Verdana" w:eastAsia="Verdana" w:hAnsi="Verdana" w:cs="Verdana"/>
          <w:b/>
          <w:sz w:val="20"/>
          <w:szCs w:val="20"/>
        </w:rPr>
        <w:t>STAP 1: ORIËNTEREN</w:t>
      </w:r>
    </w:p>
    <w:p w14:paraId="00000005" w14:textId="77777777" w:rsidR="002C32CA" w:rsidRDefault="00BF17EA">
      <w:pPr>
        <w:spacing w:before="240" w:after="240"/>
        <w:rPr>
          <w:rFonts w:ascii="Verdana" w:eastAsia="Verdana" w:hAnsi="Verdana" w:cs="Verdana"/>
          <w:b/>
          <w:sz w:val="20"/>
          <w:szCs w:val="20"/>
        </w:rPr>
      </w:pPr>
      <w:r>
        <w:rPr>
          <w:rFonts w:ascii="Verdana" w:eastAsia="Verdana" w:hAnsi="Verdana" w:cs="Verdana"/>
          <w:b/>
          <w:sz w:val="20"/>
          <w:szCs w:val="20"/>
        </w:rPr>
        <w:t>ORIËNTEREN OP HET ONDERZOEKSPROBLEEM</w:t>
      </w:r>
    </w:p>
    <w:p w14:paraId="00000006" w14:textId="77777777" w:rsidR="002C32CA" w:rsidRDefault="00BF17EA">
      <w:pPr>
        <w:spacing w:before="240" w:after="240"/>
        <w:rPr>
          <w:rFonts w:ascii="Verdana" w:eastAsia="Verdana" w:hAnsi="Verdana" w:cs="Verdana"/>
          <w:sz w:val="20"/>
          <w:szCs w:val="20"/>
        </w:rPr>
      </w:pPr>
      <w:r>
        <w:rPr>
          <w:rFonts w:ascii="Verdana" w:eastAsia="Verdana" w:hAnsi="Verdana" w:cs="Verdana"/>
          <w:sz w:val="20"/>
          <w:szCs w:val="20"/>
        </w:rPr>
        <w:t>We kiezen het volgende onderwerp: Gender neutrale voornaamwoorden</w:t>
      </w:r>
    </w:p>
    <w:p w14:paraId="00000007" w14:textId="77777777" w:rsidR="002C32CA" w:rsidRDefault="00BF17EA">
      <w:pPr>
        <w:spacing w:before="240" w:after="240"/>
        <w:rPr>
          <w:rFonts w:ascii="Verdana" w:eastAsia="Verdana" w:hAnsi="Verdana" w:cs="Verdana"/>
          <w:b/>
          <w:sz w:val="20"/>
          <w:szCs w:val="20"/>
        </w:rPr>
      </w:pPr>
      <w:r>
        <w:rPr>
          <w:rFonts w:ascii="Verdana" w:eastAsia="Verdana" w:hAnsi="Verdana" w:cs="Verdana"/>
          <w:b/>
          <w:sz w:val="20"/>
          <w:szCs w:val="20"/>
        </w:rPr>
        <w:t>FORMULEREN VAN ONDERZOEKSVRAGEN</w:t>
      </w:r>
    </w:p>
    <w:p w14:paraId="00000008" w14:textId="77777777" w:rsidR="002C32CA" w:rsidRDefault="00BF17EA">
      <w:pPr>
        <w:spacing w:before="240" w:after="240"/>
      </w:pPr>
      <w:r>
        <w:t>Onze onderzoeksvraag: Hoe is het gebruik van genderneutrale voornaamwoorden bij de Engelstalige bevolking geëvolueerd in de afgelopen 20 jaar?</w:t>
      </w:r>
    </w:p>
    <w:p w14:paraId="00000009" w14:textId="77777777" w:rsidR="002C32CA" w:rsidRDefault="00BF17EA">
      <w:pPr>
        <w:spacing w:before="240" w:after="240"/>
      </w:pPr>
      <w:r>
        <w:t>Type onderzoeks</w:t>
      </w:r>
      <w:r>
        <w:t>vraag: Vergelijkende onderzoeksvraag</w:t>
      </w:r>
    </w:p>
    <w:p w14:paraId="0000000A" w14:textId="77777777" w:rsidR="002C32CA" w:rsidRDefault="00BF17EA">
      <w:pPr>
        <w:spacing w:before="240" w:after="240"/>
      </w:pPr>
      <w:r>
        <w:t>Deelvragen:</w:t>
      </w:r>
    </w:p>
    <w:p w14:paraId="0000000B" w14:textId="77777777" w:rsidR="002C32CA" w:rsidRDefault="00BF17EA">
      <w:pPr>
        <w:spacing w:before="240" w:after="240"/>
        <w:ind w:left="360"/>
      </w:pPr>
      <w:r>
        <w:t>1.</w:t>
      </w:r>
      <w:r>
        <w:rPr>
          <w:sz w:val="14"/>
          <w:szCs w:val="14"/>
        </w:rPr>
        <w:t xml:space="preserve">       </w:t>
      </w:r>
      <w:r>
        <w:t>Hoe werden genderneutrale voornaamwoorden gebruikt in de jaren 2000?</w:t>
      </w:r>
    </w:p>
    <w:p w14:paraId="0000000C" w14:textId="77777777" w:rsidR="002C32CA" w:rsidRDefault="00BF17EA">
      <w:pPr>
        <w:spacing w:before="240" w:after="240"/>
        <w:ind w:left="360"/>
      </w:pPr>
      <w:r>
        <w:t>2.</w:t>
      </w:r>
      <w:r>
        <w:rPr>
          <w:sz w:val="14"/>
          <w:szCs w:val="14"/>
        </w:rPr>
        <w:t xml:space="preserve">       </w:t>
      </w:r>
      <w:r>
        <w:t>Hoe worden genderneutrale voornaamwoorden gebruikt in het heden?</w:t>
      </w:r>
    </w:p>
    <w:p w14:paraId="0000000D" w14:textId="77777777" w:rsidR="002C32CA" w:rsidRDefault="00BF17EA">
      <w:pPr>
        <w:spacing w:before="240" w:after="240"/>
        <w:ind w:left="360"/>
      </w:pPr>
      <w:r>
        <w:t>3.</w:t>
      </w:r>
      <w:r>
        <w:rPr>
          <w:sz w:val="14"/>
          <w:szCs w:val="14"/>
        </w:rPr>
        <w:t xml:space="preserve">       </w:t>
      </w:r>
      <w:r>
        <w:t>Hoe is deze evolutie tot stand gekomen?</w:t>
      </w:r>
    </w:p>
    <w:p w14:paraId="0000000E" w14:textId="77777777" w:rsidR="002C32CA" w:rsidRDefault="00BF17EA">
      <w:pPr>
        <w:spacing w:before="240" w:after="240"/>
      </w:pPr>
      <w:r>
        <w:t xml:space="preserve"> </w:t>
      </w:r>
    </w:p>
    <w:p w14:paraId="0000000F" w14:textId="77777777" w:rsidR="002C32CA" w:rsidRDefault="00BF17EA">
      <w:pPr>
        <w:spacing w:before="240" w:after="240"/>
        <w:rPr>
          <w:rFonts w:ascii="Verdana" w:eastAsia="Verdana" w:hAnsi="Verdana" w:cs="Verdana"/>
          <w:b/>
          <w:sz w:val="20"/>
          <w:szCs w:val="20"/>
        </w:rPr>
      </w:pPr>
      <w:r>
        <w:rPr>
          <w:rFonts w:ascii="Verdana" w:eastAsia="Verdana" w:hAnsi="Verdana" w:cs="Verdana"/>
          <w:b/>
          <w:sz w:val="20"/>
          <w:szCs w:val="20"/>
        </w:rPr>
        <w:t>STAP</w:t>
      </w:r>
      <w:r>
        <w:rPr>
          <w:rFonts w:ascii="Verdana" w:eastAsia="Verdana" w:hAnsi="Verdana" w:cs="Verdana"/>
          <w:b/>
          <w:sz w:val="20"/>
          <w:szCs w:val="20"/>
        </w:rPr>
        <w:t xml:space="preserve"> 2: VOORBEREIDEN</w:t>
      </w:r>
    </w:p>
    <w:p w14:paraId="00000010" w14:textId="77777777" w:rsidR="002C32CA" w:rsidRDefault="00BF17EA">
      <w:pPr>
        <w:spacing w:before="240" w:after="240"/>
        <w:rPr>
          <w:rFonts w:ascii="Verdana" w:eastAsia="Verdana" w:hAnsi="Verdana" w:cs="Verdana"/>
          <w:b/>
          <w:sz w:val="20"/>
          <w:szCs w:val="20"/>
        </w:rPr>
      </w:pPr>
      <w:r>
        <w:rPr>
          <w:rFonts w:ascii="Verdana" w:eastAsia="Verdana" w:hAnsi="Verdana" w:cs="Verdana"/>
          <w:b/>
          <w:sz w:val="20"/>
          <w:szCs w:val="20"/>
        </w:rPr>
        <w:t>ONDERZOEKSPLAN OPSTELLEN</w:t>
      </w:r>
    </w:p>
    <w:p w14:paraId="00000011" w14:textId="77777777" w:rsidR="002C32CA" w:rsidRDefault="00BF17EA">
      <w:pPr>
        <w:spacing w:before="240" w:after="240"/>
        <w:ind w:left="720" w:hanging="360"/>
      </w:pPr>
      <w:r>
        <w:t>1.</w:t>
      </w:r>
      <w:r>
        <w:rPr>
          <w:sz w:val="14"/>
          <w:szCs w:val="14"/>
        </w:rPr>
        <w:t xml:space="preserve">       </w:t>
      </w:r>
      <w:r>
        <w:t>Taakverdeling: wie leest welk artikel/bekijkt welke video? wie is verslaggever?</w:t>
      </w:r>
    </w:p>
    <w:p w14:paraId="00000012" w14:textId="77777777" w:rsidR="002C32CA" w:rsidRDefault="00BF17EA">
      <w:pPr>
        <w:spacing w:before="240" w:after="240"/>
        <w:ind w:left="1440" w:hanging="360"/>
      </w:pPr>
      <w:r>
        <w:t>a.</w:t>
      </w:r>
      <w:r>
        <w:rPr>
          <w:sz w:val="14"/>
          <w:szCs w:val="14"/>
        </w:rPr>
        <w:t xml:space="preserve">       </w:t>
      </w:r>
      <w:r>
        <w:t>Sean L’allemand</w:t>
      </w:r>
    </w:p>
    <w:p w14:paraId="00000013" w14:textId="77777777" w:rsidR="002C32CA" w:rsidRDefault="00BF17EA">
      <w:pPr>
        <w:spacing w:before="240" w:after="240"/>
        <w:ind w:left="3600" w:hanging="1800"/>
      </w:pPr>
      <w:r>
        <w:rPr>
          <w:sz w:val="14"/>
          <w:szCs w:val="14"/>
        </w:rPr>
        <w:t xml:space="preserve">                                                   </w:t>
      </w:r>
      <w:r>
        <w:t>i.</w:t>
      </w:r>
      <w:r>
        <w:rPr>
          <w:sz w:val="14"/>
          <w:szCs w:val="14"/>
        </w:rPr>
        <w:t xml:space="preserve">      </w:t>
      </w:r>
      <w:r>
        <w:t>Verwerken van jaren 2000</w:t>
      </w:r>
    </w:p>
    <w:p w14:paraId="00000014" w14:textId="77777777" w:rsidR="002C32CA" w:rsidRDefault="00BF17EA">
      <w:pPr>
        <w:spacing w:before="240" w:after="240"/>
        <w:ind w:left="3600" w:hanging="1800"/>
      </w:pPr>
      <w:r>
        <w:rPr>
          <w:sz w:val="14"/>
          <w:szCs w:val="14"/>
        </w:rPr>
        <w:t xml:space="preserve">                </w:t>
      </w:r>
      <w:r>
        <w:rPr>
          <w:sz w:val="14"/>
          <w:szCs w:val="14"/>
        </w:rPr>
        <w:t xml:space="preserve">                                 </w:t>
      </w:r>
      <w:r>
        <w:t>ii.</w:t>
      </w:r>
      <w:r>
        <w:rPr>
          <w:sz w:val="14"/>
          <w:szCs w:val="14"/>
        </w:rPr>
        <w:t xml:space="preserve">      </w:t>
      </w:r>
      <w:r>
        <w:t xml:space="preserve">Opstellen van de inleiding </w:t>
      </w:r>
    </w:p>
    <w:p w14:paraId="00000015" w14:textId="77777777" w:rsidR="002C32CA" w:rsidRDefault="00BF17EA">
      <w:pPr>
        <w:spacing w:before="240" w:after="240"/>
        <w:ind w:left="1440" w:hanging="360"/>
      </w:pPr>
      <w:r>
        <w:t>b.</w:t>
      </w:r>
      <w:r>
        <w:rPr>
          <w:sz w:val="14"/>
          <w:szCs w:val="14"/>
        </w:rPr>
        <w:t xml:space="preserve">       </w:t>
      </w:r>
      <w:r>
        <w:t>Stijn Van Echelpoel</w:t>
      </w:r>
      <w:r>
        <w:rPr>
          <w:sz w:val="14"/>
          <w:szCs w:val="14"/>
        </w:rPr>
        <w:t xml:space="preserve"> </w:t>
      </w:r>
    </w:p>
    <w:p w14:paraId="00000016" w14:textId="77777777" w:rsidR="002C32CA" w:rsidRDefault="00BF17EA">
      <w:pPr>
        <w:spacing w:before="240" w:after="240"/>
        <w:ind w:left="3600" w:hanging="1800"/>
      </w:pPr>
      <w:r>
        <w:rPr>
          <w:sz w:val="14"/>
          <w:szCs w:val="14"/>
        </w:rPr>
        <w:t xml:space="preserve">                                                   </w:t>
      </w:r>
      <w:r>
        <w:t>i.</w:t>
      </w:r>
      <w:r>
        <w:rPr>
          <w:sz w:val="14"/>
          <w:szCs w:val="14"/>
        </w:rPr>
        <w:t xml:space="preserve">      </w:t>
      </w:r>
      <w:r>
        <w:t>Verwerken van ‘</w:t>
      </w:r>
      <w:r>
        <w:rPr>
          <w:sz w:val="14"/>
          <w:szCs w:val="14"/>
        </w:rPr>
        <w:t xml:space="preserve"> </w:t>
      </w:r>
      <w:r>
        <w:t>Hoe is deze evolutie tot stand gekomen?’</w:t>
      </w:r>
    </w:p>
    <w:p w14:paraId="00000017" w14:textId="77777777" w:rsidR="002C32CA" w:rsidRDefault="00BF17EA">
      <w:pPr>
        <w:spacing w:before="240" w:after="240"/>
        <w:ind w:left="3600" w:hanging="1800"/>
      </w:pPr>
      <w:r>
        <w:rPr>
          <w:sz w:val="14"/>
          <w:szCs w:val="14"/>
        </w:rPr>
        <w:t xml:space="preserve">                                                 </w:t>
      </w:r>
      <w:r>
        <w:t>ii.</w:t>
      </w:r>
      <w:r>
        <w:rPr>
          <w:sz w:val="14"/>
          <w:szCs w:val="14"/>
        </w:rPr>
        <w:t xml:space="preserve">      </w:t>
      </w:r>
      <w:r>
        <w:t xml:space="preserve">Opstellen van </w:t>
      </w:r>
    </w:p>
    <w:p w14:paraId="00000018" w14:textId="77777777" w:rsidR="002C32CA" w:rsidRDefault="00BF17EA">
      <w:pPr>
        <w:spacing w:before="240" w:after="240"/>
        <w:ind w:left="1440" w:hanging="360"/>
      </w:pPr>
      <w:r>
        <w:t>c.</w:t>
      </w:r>
      <w:r>
        <w:rPr>
          <w:sz w:val="14"/>
          <w:szCs w:val="14"/>
        </w:rPr>
        <w:t xml:space="preserve">       </w:t>
      </w:r>
      <w:r>
        <w:t>Phil Coenen</w:t>
      </w:r>
    </w:p>
    <w:p w14:paraId="00000019" w14:textId="77777777" w:rsidR="002C32CA" w:rsidRDefault="00BF17EA">
      <w:pPr>
        <w:spacing w:before="240" w:after="240"/>
        <w:ind w:left="3600" w:hanging="1800"/>
      </w:pPr>
      <w:r>
        <w:rPr>
          <w:sz w:val="14"/>
          <w:szCs w:val="14"/>
        </w:rPr>
        <w:t xml:space="preserve">                                                   </w:t>
      </w:r>
      <w:r>
        <w:t>i.</w:t>
      </w:r>
      <w:r>
        <w:rPr>
          <w:sz w:val="14"/>
          <w:szCs w:val="14"/>
        </w:rPr>
        <w:t xml:space="preserve">      </w:t>
      </w:r>
      <w:r>
        <w:t>Verwerken van het heden</w:t>
      </w:r>
    </w:p>
    <w:p w14:paraId="0000001A" w14:textId="77777777" w:rsidR="002C32CA" w:rsidRDefault="00BF17EA">
      <w:pPr>
        <w:spacing w:before="240" w:after="240"/>
        <w:ind w:left="3600" w:hanging="1800"/>
      </w:pPr>
      <w:r>
        <w:rPr>
          <w:sz w:val="14"/>
          <w:szCs w:val="14"/>
        </w:rPr>
        <w:lastRenderedPageBreak/>
        <w:t xml:space="preserve">                                                 </w:t>
      </w:r>
      <w:r>
        <w:t>ii.</w:t>
      </w:r>
      <w:r>
        <w:rPr>
          <w:sz w:val="14"/>
          <w:szCs w:val="14"/>
        </w:rPr>
        <w:t xml:space="preserve">      </w:t>
      </w:r>
      <w:r>
        <w:t>Opstellen van  het sl</w:t>
      </w:r>
      <w:r>
        <w:t>ot</w:t>
      </w:r>
    </w:p>
    <w:p w14:paraId="0000001B" w14:textId="77777777" w:rsidR="002C32CA" w:rsidRDefault="00BF17EA">
      <w:pPr>
        <w:spacing w:before="240" w:after="240"/>
      </w:pPr>
      <w:r>
        <w:t xml:space="preserve"> </w:t>
      </w:r>
    </w:p>
    <w:p w14:paraId="0000001C" w14:textId="77777777" w:rsidR="002C32CA" w:rsidRDefault="00BF17EA">
      <w:pPr>
        <w:spacing w:before="240" w:after="240"/>
        <w:rPr>
          <w:rFonts w:ascii="Verdana" w:eastAsia="Verdana" w:hAnsi="Verdana" w:cs="Verdana"/>
          <w:b/>
          <w:sz w:val="20"/>
          <w:szCs w:val="20"/>
        </w:rPr>
      </w:pPr>
      <w:r>
        <w:rPr>
          <w:rFonts w:ascii="Verdana" w:eastAsia="Verdana" w:hAnsi="Verdana" w:cs="Verdana"/>
          <w:b/>
          <w:sz w:val="20"/>
          <w:szCs w:val="20"/>
        </w:rPr>
        <w:t>STAP 3: UITVOEREN</w:t>
      </w:r>
    </w:p>
    <w:p w14:paraId="0000001D" w14:textId="77777777" w:rsidR="002C32CA" w:rsidRDefault="00BF17EA">
      <w:pPr>
        <w:spacing w:before="240" w:after="240"/>
        <w:rPr>
          <w:rFonts w:ascii="Verdana" w:eastAsia="Verdana" w:hAnsi="Verdana" w:cs="Verdana"/>
          <w:b/>
          <w:sz w:val="20"/>
          <w:szCs w:val="20"/>
        </w:rPr>
      </w:pPr>
      <w:r>
        <w:rPr>
          <w:rFonts w:ascii="Verdana" w:eastAsia="Verdana" w:hAnsi="Verdana" w:cs="Verdana"/>
          <w:b/>
          <w:sz w:val="20"/>
          <w:szCs w:val="20"/>
        </w:rPr>
        <w:t>VERWERVEN VAN INFORMATIE</w:t>
      </w:r>
    </w:p>
    <w:p w14:paraId="0000001E" w14:textId="77777777" w:rsidR="002C32CA" w:rsidRDefault="00BF17EA">
      <w:pPr>
        <w:spacing w:before="240" w:after="240"/>
      </w:pPr>
      <w:r>
        <w:t>(hier hoef je niets aan te vullen)</w:t>
      </w:r>
    </w:p>
    <w:p w14:paraId="0000001F" w14:textId="77777777" w:rsidR="002C32CA" w:rsidRDefault="00BF17EA">
      <w:pPr>
        <w:spacing w:before="240" w:after="240"/>
      </w:pPr>
      <w:r>
        <w:t xml:space="preserve"> </w:t>
      </w:r>
    </w:p>
    <w:p w14:paraId="00000020" w14:textId="77777777" w:rsidR="002C32CA" w:rsidRDefault="00BF17EA">
      <w:pPr>
        <w:spacing w:before="240" w:after="240"/>
        <w:rPr>
          <w:rFonts w:ascii="Verdana" w:eastAsia="Verdana" w:hAnsi="Verdana" w:cs="Verdana"/>
          <w:b/>
          <w:sz w:val="20"/>
          <w:szCs w:val="20"/>
        </w:rPr>
      </w:pPr>
      <w:r>
        <w:rPr>
          <w:rFonts w:ascii="Verdana" w:eastAsia="Verdana" w:hAnsi="Verdana" w:cs="Verdana"/>
          <w:b/>
          <w:sz w:val="20"/>
          <w:szCs w:val="20"/>
        </w:rPr>
        <w:t>STAP 4: VERWERKEN</w:t>
      </w:r>
    </w:p>
    <w:p w14:paraId="00000021" w14:textId="77777777" w:rsidR="002C32CA" w:rsidRDefault="002C32CA">
      <w:pPr>
        <w:spacing w:before="240" w:after="240"/>
        <w:rPr>
          <w:rFonts w:ascii="Verdana" w:eastAsia="Verdana" w:hAnsi="Verdana" w:cs="Verdana"/>
          <w:b/>
          <w:sz w:val="20"/>
          <w:szCs w:val="20"/>
        </w:rPr>
      </w:pPr>
    </w:p>
    <w:p w14:paraId="00000022" w14:textId="77777777" w:rsidR="002C32CA" w:rsidRDefault="002C32CA">
      <w:pPr>
        <w:spacing w:before="240" w:after="240"/>
        <w:rPr>
          <w:rFonts w:ascii="Verdana" w:eastAsia="Verdana" w:hAnsi="Verdana" w:cs="Verdana"/>
          <w:b/>
          <w:sz w:val="20"/>
          <w:szCs w:val="20"/>
        </w:rPr>
      </w:pPr>
    </w:p>
    <w:p w14:paraId="00000023" w14:textId="77777777" w:rsidR="002C32CA" w:rsidRDefault="002C32CA">
      <w:pPr>
        <w:spacing w:before="240" w:after="240"/>
        <w:rPr>
          <w:rFonts w:ascii="Verdana" w:eastAsia="Verdana" w:hAnsi="Verdana" w:cs="Verdana"/>
          <w:b/>
          <w:sz w:val="20"/>
          <w:szCs w:val="20"/>
        </w:rPr>
      </w:pPr>
    </w:p>
    <w:p w14:paraId="00000024" w14:textId="77777777" w:rsidR="002C32CA" w:rsidRDefault="002C32CA">
      <w:pPr>
        <w:spacing w:before="240" w:after="240"/>
        <w:rPr>
          <w:rFonts w:ascii="Verdana" w:eastAsia="Verdana" w:hAnsi="Verdana" w:cs="Verdana"/>
          <w:b/>
          <w:sz w:val="20"/>
          <w:szCs w:val="20"/>
        </w:rPr>
      </w:pPr>
    </w:p>
    <w:p w14:paraId="00000025" w14:textId="77777777" w:rsidR="002C32CA" w:rsidRDefault="002C32CA">
      <w:pPr>
        <w:spacing w:before="240" w:after="240"/>
        <w:rPr>
          <w:rFonts w:ascii="Verdana" w:eastAsia="Verdana" w:hAnsi="Verdana" w:cs="Verdana"/>
          <w:b/>
          <w:sz w:val="20"/>
          <w:szCs w:val="20"/>
        </w:rPr>
      </w:pPr>
    </w:p>
    <w:p w14:paraId="00000026" w14:textId="77777777" w:rsidR="002C32CA" w:rsidRDefault="002C32CA">
      <w:pPr>
        <w:spacing w:before="240" w:after="240"/>
        <w:rPr>
          <w:rFonts w:ascii="Verdana" w:eastAsia="Verdana" w:hAnsi="Verdana" w:cs="Verdana"/>
          <w:b/>
          <w:sz w:val="20"/>
          <w:szCs w:val="20"/>
        </w:rPr>
      </w:pPr>
    </w:p>
    <w:p w14:paraId="00000027" w14:textId="77777777" w:rsidR="002C32CA" w:rsidRDefault="002C32CA">
      <w:pPr>
        <w:spacing w:before="240" w:after="240"/>
        <w:rPr>
          <w:rFonts w:ascii="Verdana" w:eastAsia="Verdana" w:hAnsi="Verdana" w:cs="Verdana"/>
          <w:b/>
          <w:sz w:val="20"/>
          <w:szCs w:val="20"/>
        </w:rPr>
      </w:pPr>
    </w:p>
    <w:p w14:paraId="00000028" w14:textId="77777777" w:rsidR="002C32CA" w:rsidRDefault="002C32CA">
      <w:pPr>
        <w:spacing w:before="240" w:after="240"/>
        <w:rPr>
          <w:rFonts w:ascii="Verdana" w:eastAsia="Verdana" w:hAnsi="Verdana" w:cs="Verdana"/>
          <w:b/>
          <w:sz w:val="20"/>
          <w:szCs w:val="20"/>
        </w:rPr>
      </w:pPr>
    </w:p>
    <w:p w14:paraId="00000029" w14:textId="77777777" w:rsidR="002C32CA" w:rsidRDefault="002C32CA">
      <w:pPr>
        <w:spacing w:before="240" w:after="240"/>
        <w:rPr>
          <w:rFonts w:ascii="Verdana" w:eastAsia="Verdana" w:hAnsi="Verdana" w:cs="Verdana"/>
          <w:b/>
          <w:sz w:val="20"/>
          <w:szCs w:val="20"/>
        </w:rPr>
      </w:pPr>
    </w:p>
    <w:p w14:paraId="0000002A" w14:textId="77777777" w:rsidR="002C32CA" w:rsidRDefault="002C32CA">
      <w:pPr>
        <w:spacing w:before="240" w:after="240"/>
        <w:rPr>
          <w:rFonts w:ascii="Verdana" w:eastAsia="Verdana" w:hAnsi="Verdana" w:cs="Verdana"/>
          <w:b/>
          <w:sz w:val="20"/>
          <w:szCs w:val="20"/>
        </w:rPr>
      </w:pPr>
    </w:p>
    <w:p w14:paraId="0000002B" w14:textId="77777777" w:rsidR="002C32CA" w:rsidRDefault="002C32CA">
      <w:pPr>
        <w:spacing w:before="240" w:after="240"/>
        <w:rPr>
          <w:rFonts w:ascii="Verdana" w:eastAsia="Verdana" w:hAnsi="Verdana" w:cs="Verdana"/>
          <w:b/>
          <w:sz w:val="20"/>
          <w:szCs w:val="20"/>
        </w:rPr>
      </w:pPr>
    </w:p>
    <w:p w14:paraId="0000002C" w14:textId="77777777" w:rsidR="002C32CA" w:rsidRDefault="002C32CA">
      <w:pPr>
        <w:spacing w:before="240" w:after="240"/>
        <w:rPr>
          <w:rFonts w:ascii="Verdana" w:eastAsia="Verdana" w:hAnsi="Verdana" w:cs="Verdana"/>
          <w:b/>
          <w:sz w:val="20"/>
          <w:szCs w:val="20"/>
        </w:rPr>
      </w:pPr>
    </w:p>
    <w:p w14:paraId="0000002D" w14:textId="77777777" w:rsidR="002C32CA" w:rsidRDefault="00BF17EA">
      <w:pPr>
        <w:spacing w:before="240" w:after="240"/>
        <w:rPr>
          <w:rFonts w:ascii="Verdana" w:eastAsia="Verdana" w:hAnsi="Verdana" w:cs="Verdana"/>
          <w:b/>
          <w:sz w:val="20"/>
          <w:szCs w:val="20"/>
        </w:rPr>
      </w:pPr>
      <w:r>
        <w:rPr>
          <w:rFonts w:ascii="Verdana" w:eastAsia="Verdana" w:hAnsi="Verdana" w:cs="Verdana"/>
          <w:b/>
          <w:sz w:val="20"/>
          <w:szCs w:val="20"/>
        </w:rPr>
        <w:t>https://www.theatlantic.com/culture/archive/2021/06/gender-neutral-pronouns-arent-new/619092/</w:t>
      </w:r>
    </w:p>
    <w:p w14:paraId="0000002E" w14:textId="77777777" w:rsidR="002C32CA" w:rsidRDefault="002C32CA">
      <w:pPr>
        <w:spacing w:before="240" w:after="240"/>
        <w:rPr>
          <w:rFonts w:ascii="Verdana" w:eastAsia="Verdana" w:hAnsi="Verdana" w:cs="Verdana"/>
          <w:b/>
          <w:sz w:val="20"/>
          <w:szCs w:val="20"/>
        </w:rPr>
      </w:pPr>
    </w:p>
    <w:p w14:paraId="0000002F" w14:textId="77777777" w:rsidR="002C32CA" w:rsidRDefault="002C32CA">
      <w:pPr>
        <w:spacing w:before="240" w:after="240"/>
        <w:rPr>
          <w:rFonts w:ascii="Verdana" w:eastAsia="Verdana" w:hAnsi="Verdana" w:cs="Verdana"/>
          <w:b/>
          <w:sz w:val="20"/>
          <w:szCs w:val="20"/>
        </w:rPr>
      </w:pPr>
    </w:p>
    <w:p w14:paraId="00000030" w14:textId="77777777" w:rsidR="002C32CA" w:rsidRDefault="002C32CA">
      <w:pPr>
        <w:spacing w:before="240" w:after="240"/>
        <w:rPr>
          <w:rFonts w:ascii="Verdana" w:eastAsia="Verdana" w:hAnsi="Verdana" w:cs="Verdana"/>
          <w:b/>
          <w:sz w:val="20"/>
          <w:szCs w:val="20"/>
        </w:rPr>
      </w:pPr>
    </w:p>
    <w:p w14:paraId="00000031" w14:textId="77777777" w:rsidR="002C32CA" w:rsidRDefault="002C32CA">
      <w:pPr>
        <w:spacing w:before="240" w:after="240"/>
        <w:rPr>
          <w:rFonts w:ascii="Verdana" w:eastAsia="Verdana" w:hAnsi="Verdana" w:cs="Verdana"/>
          <w:b/>
          <w:sz w:val="20"/>
          <w:szCs w:val="20"/>
        </w:rPr>
      </w:pPr>
    </w:p>
    <w:p w14:paraId="00000032" w14:textId="77777777" w:rsidR="002C32CA" w:rsidRDefault="002C32CA">
      <w:pPr>
        <w:spacing w:before="240" w:after="240"/>
        <w:rPr>
          <w:rFonts w:ascii="Verdana" w:eastAsia="Verdana" w:hAnsi="Verdana" w:cs="Verdana"/>
          <w:b/>
          <w:sz w:val="20"/>
          <w:szCs w:val="20"/>
        </w:rPr>
      </w:pPr>
    </w:p>
    <w:p w14:paraId="00000033" w14:textId="77777777" w:rsidR="002C32CA" w:rsidRDefault="00BF17EA">
      <w:pPr>
        <w:spacing w:before="240" w:after="240"/>
        <w:rPr>
          <w:rFonts w:ascii="Verdana" w:eastAsia="Verdana" w:hAnsi="Verdana" w:cs="Verdana"/>
          <w:b/>
          <w:sz w:val="20"/>
          <w:szCs w:val="20"/>
        </w:rPr>
      </w:pPr>
      <w:r>
        <w:rPr>
          <w:rFonts w:ascii="Verdana" w:eastAsia="Verdana" w:hAnsi="Verdana" w:cs="Verdana"/>
          <w:b/>
          <w:sz w:val="20"/>
          <w:szCs w:val="20"/>
        </w:rPr>
        <w:t>VERWERKEN VAN INFORMATIE</w:t>
      </w:r>
    </w:p>
    <w:p w14:paraId="00000034" w14:textId="77777777" w:rsidR="002C32CA" w:rsidRDefault="00BF17EA">
      <w:pPr>
        <w:spacing w:before="240" w:after="240"/>
        <w:rPr>
          <w:sz w:val="24"/>
          <w:szCs w:val="24"/>
        </w:rPr>
      </w:pPr>
      <w:r>
        <w:rPr>
          <w:sz w:val="24"/>
          <w:szCs w:val="24"/>
          <w:u w:val="single"/>
        </w:rPr>
        <w:lastRenderedPageBreak/>
        <w:t>Hoe is het gebruik van genderneutrale voornaamwoorden bij de Engelstalige bevolking geëvolueerd in de afgelopen 20 jaar?</w:t>
      </w:r>
    </w:p>
    <w:p w14:paraId="00000035" w14:textId="77777777" w:rsidR="002C32CA" w:rsidRDefault="00BF17EA">
      <w:pPr>
        <w:spacing w:before="240" w:after="240"/>
        <w:rPr>
          <w:sz w:val="20"/>
          <w:szCs w:val="20"/>
        </w:rPr>
      </w:pPr>
      <w:r>
        <w:rPr>
          <w:sz w:val="20"/>
          <w:szCs w:val="20"/>
        </w:rPr>
        <w:t xml:space="preserve">Voor deze opdracht hebben we ervoor gekozen om te kijken naar de evolutie van genderneutrale voornaamwoorden. </w:t>
      </w:r>
      <w:r>
        <w:rPr>
          <w:sz w:val="20"/>
          <w:szCs w:val="20"/>
        </w:rPr>
        <w:t>We hebben ons beperkt tot de laatste 20 jaar aangezien dit de periode is die wij zelf hebben meegemaakt. We kozen de Engelse taal, omdat dit één van de meest gesproken talen is in de wereld. In ons opstel gaan we dus het verleden en het heden vergelijken e</w:t>
      </w:r>
      <w:r>
        <w:rPr>
          <w:sz w:val="20"/>
          <w:szCs w:val="20"/>
        </w:rPr>
        <w:t xml:space="preserve">n verklaren hoe deze veranderingen tot stand zijn gekomen. </w:t>
      </w:r>
    </w:p>
    <w:p w14:paraId="00000036" w14:textId="77777777" w:rsidR="002C32CA" w:rsidRDefault="00BF17EA">
      <w:pPr>
        <w:spacing w:before="240" w:after="240"/>
        <w:rPr>
          <w:b/>
          <w:sz w:val="20"/>
          <w:szCs w:val="20"/>
        </w:rPr>
      </w:pPr>
      <w:r>
        <w:rPr>
          <w:b/>
          <w:sz w:val="20"/>
          <w:szCs w:val="20"/>
        </w:rPr>
        <w:t>Hoe werden genderneutrale voornaamwoorden in de jaren 2000 gebruikt?</w:t>
      </w:r>
    </w:p>
    <w:p w14:paraId="00000037" w14:textId="77777777" w:rsidR="002C32CA" w:rsidRDefault="00BF17EA">
      <w:pPr>
        <w:spacing w:before="240" w:after="240"/>
        <w:rPr>
          <w:sz w:val="20"/>
          <w:szCs w:val="20"/>
        </w:rPr>
      </w:pPr>
      <w:r>
        <w:rPr>
          <w:sz w:val="20"/>
          <w:szCs w:val="20"/>
        </w:rPr>
        <w:t>Voor de jaren 2000 werden genderneutrale voornaamwoorden nog niet echt in de Engelse taal erkend als deze. Je had doorheen de 2</w:t>
      </w:r>
      <w:r>
        <w:rPr>
          <w:sz w:val="20"/>
          <w:szCs w:val="20"/>
        </w:rPr>
        <w:t>0ste eeuw wel al verschillende voorstellen om genderneutrale mensen anders aan te spreken met bijvoorbeeld het voornaamwoord “co” en zijn varianten “cos” en “coself” waarin de “co” verwijst naar” togheter”. Deze woorden werden enkel nooit geïntegreerd in d</w:t>
      </w:r>
      <w:r>
        <w:rPr>
          <w:sz w:val="20"/>
          <w:szCs w:val="20"/>
        </w:rPr>
        <w:t>e Engelse taal. In de jaren 2000 veranderde de situatie echter, er waren steeds meer mensen dat zich anders dan de twee voornamelijke genders (man en vrouw) identificeerde en bijgevolg was er dus  nood aan een genderneutraal voornaamwoord, namelijk het woo</w:t>
      </w:r>
      <w:r>
        <w:rPr>
          <w:sz w:val="20"/>
          <w:szCs w:val="20"/>
        </w:rPr>
        <w:t>rd ”they”. Het voornaamwoord “they” bestond al wel in de meervoudsvorm, maar in een genderneutrale context wordt het enkelvoudig gebruikt. Een voorbeeld hiervan is “They is going outside” waarbij “they” verwijst naar één persoon die zich niet als man of vr</w:t>
      </w:r>
      <w:r>
        <w:rPr>
          <w:sz w:val="20"/>
          <w:szCs w:val="20"/>
        </w:rPr>
        <w:t xml:space="preserve">ouw identificeert. Dit luidde het begin aan van genderneutrale voornaamwoorden in de maatschappij. </w:t>
      </w:r>
    </w:p>
    <w:p w14:paraId="00000038" w14:textId="77777777" w:rsidR="002C32CA" w:rsidRDefault="00BF17EA">
      <w:pPr>
        <w:spacing w:before="240" w:after="240"/>
        <w:rPr>
          <w:b/>
          <w:sz w:val="20"/>
          <w:szCs w:val="20"/>
        </w:rPr>
      </w:pPr>
      <w:r>
        <w:rPr>
          <w:b/>
          <w:sz w:val="20"/>
          <w:szCs w:val="20"/>
        </w:rPr>
        <w:t>evolutie</w:t>
      </w:r>
    </w:p>
    <w:p w14:paraId="00000039" w14:textId="77777777" w:rsidR="002C32CA" w:rsidRDefault="00BF17EA">
      <w:pPr>
        <w:spacing w:before="240" w:after="240"/>
        <w:rPr>
          <w:sz w:val="20"/>
          <w:szCs w:val="20"/>
        </w:rPr>
      </w:pPr>
      <w:r>
        <w:rPr>
          <w:sz w:val="20"/>
          <w:szCs w:val="20"/>
        </w:rPr>
        <w:t>Het gebruik van geprefereerde voornaamwoorden is een hedendaagse kwestie maar sinds laat in 1800 zijn ze al op zoek naar genderneutrale voornaamwoo</w:t>
      </w:r>
      <w:r>
        <w:rPr>
          <w:sz w:val="20"/>
          <w:szCs w:val="20"/>
        </w:rPr>
        <w:t>rden. Ook gebruikte de nieuwszender The Sacramento Bee de woorden “zie” of “hir” de afgelopen 25 jaar.  Het debat is enkel in de afgelopen 15-20 jaar aangewakkerd door de bewustwording van niet-binaire genderkwesties en transgender en gender-non-conforme m</w:t>
      </w:r>
      <w:r>
        <w:rPr>
          <w:sz w:val="20"/>
          <w:szCs w:val="20"/>
        </w:rPr>
        <w:t>ensen. In 2019 werd het woord “they” zelfs verkozen als woord van het jaar door Merriam-Webster op basis van het aantal keer opgezocht in de woordenboek. Twee jaar daarvoor werd dit woord ingevoerd in The Associated Press Stylebook : de gouden standaard vo</w:t>
      </w:r>
      <w:r>
        <w:rPr>
          <w:sz w:val="20"/>
          <w:szCs w:val="20"/>
        </w:rPr>
        <w:t>or journalisten. Op de dag van vandaag is het al zo geëvolueerd dat 18% iemand kent die liever genderneutraal wordt aangesproken.</w:t>
      </w:r>
    </w:p>
    <w:p w14:paraId="0000003A" w14:textId="77777777" w:rsidR="002C32CA" w:rsidRDefault="002C32CA">
      <w:pPr>
        <w:spacing w:before="240" w:after="240"/>
        <w:rPr>
          <w:b/>
          <w:sz w:val="12"/>
          <w:szCs w:val="12"/>
        </w:rPr>
      </w:pPr>
    </w:p>
    <w:p w14:paraId="0000003B" w14:textId="77777777" w:rsidR="002C32CA" w:rsidRDefault="00BF17EA">
      <w:pPr>
        <w:spacing w:before="240" w:after="240"/>
        <w:rPr>
          <w:b/>
          <w:sz w:val="18"/>
          <w:szCs w:val="18"/>
        </w:rPr>
      </w:pPr>
      <w:r>
        <w:rPr>
          <w:b/>
          <w:sz w:val="12"/>
          <w:szCs w:val="12"/>
        </w:rPr>
        <w:t xml:space="preserve"> </w:t>
      </w:r>
      <w:r>
        <w:rPr>
          <w:b/>
          <w:sz w:val="20"/>
          <w:szCs w:val="20"/>
        </w:rPr>
        <w:t>Hoe worden genderneutrale voornaamwoorden gebruikt in het heden?</w:t>
      </w:r>
    </w:p>
    <w:p w14:paraId="0000003C" w14:textId="77777777" w:rsidR="002C32CA" w:rsidRDefault="00BF17EA">
      <w:pPr>
        <w:spacing w:before="240" w:after="240"/>
        <w:rPr>
          <w:sz w:val="20"/>
          <w:szCs w:val="20"/>
        </w:rPr>
      </w:pPr>
      <w:r>
        <w:rPr>
          <w:sz w:val="20"/>
          <w:szCs w:val="20"/>
        </w:rPr>
        <w:t>In het heden worden bijna overal ter wereld genderneutrale voornaamwoorden herkend buiten in het Chinees en Perzisch. Door middel van opstanden over de hele wereld heeft men nieuwe non-binair</w:t>
      </w:r>
      <w:r>
        <w:rPr>
          <w:sz w:val="20"/>
          <w:szCs w:val="20"/>
        </w:rPr>
        <w:t>e termen kunnen invoegen maar dit heeft ook gezorgd voor het stijgen van ‘gaybashing’ of haat aanvallen op leden van de LGBTQ+ community. Desondanks dat men opgevoed is met dat er maar slechts 2 genders is de samenleving toch geëvolueerd naar een samenlevi</w:t>
      </w:r>
      <w:r>
        <w:rPr>
          <w:sz w:val="20"/>
          <w:szCs w:val="20"/>
        </w:rPr>
        <w:t>ng waarbij ze mensen hun voornaamwoorden respecteren .Het is niet altijd even gemakkelijk voor andere mensen om de juiste woorden te gebruiken aangezien er 78 verschillende zijn, daarom word er verwacht dat je vraagt wat hun voornaamwoorden zijn.They en th</w:t>
      </w:r>
      <w:r>
        <w:rPr>
          <w:sz w:val="20"/>
          <w:szCs w:val="20"/>
        </w:rPr>
        <w:t>em zijn de meest voorkomende genderneutrale voornaamwoorden men gebruikt het voornaamwoord ‘they’ als men niet als ‘he’ of ‘she’ wilt aangesproken worden.</w:t>
      </w:r>
    </w:p>
    <w:p w14:paraId="0000003D" w14:textId="77777777" w:rsidR="002C32CA" w:rsidRDefault="00BF17EA">
      <w:pPr>
        <w:spacing w:before="240" w:after="240"/>
        <w:rPr>
          <w:b/>
          <w:sz w:val="20"/>
          <w:szCs w:val="20"/>
        </w:rPr>
      </w:pPr>
      <w:r>
        <w:rPr>
          <w:b/>
          <w:sz w:val="20"/>
          <w:szCs w:val="20"/>
        </w:rPr>
        <w:t>Conclusie</w:t>
      </w:r>
    </w:p>
    <w:p w14:paraId="0000003E" w14:textId="77777777" w:rsidR="002C32CA" w:rsidRDefault="00BF17EA">
      <w:pPr>
        <w:spacing w:before="240" w:after="240"/>
        <w:rPr>
          <w:sz w:val="20"/>
          <w:szCs w:val="20"/>
        </w:rPr>
      </w:pPr>
      <w:r>
        <w:rPr>
          <w:sz w:val="20"/>
          <w:szCs w:val="20"/>
        </w:rPr>
        <w:lastRenderedPageBreak/>
        <w:t>Zoals we kunnen afleiden heeft de LGBTQ+ community een grote en positieve ontwikkeling gema</w:t>
      </w:r>
      <w:r>
        <w:rPr>
          <w:sz w:val="20"/>
          <w:szCs w:val="20"/>
        </w:rPr>
        <w:t>akt door middel van eigen initiatief en dit heeft ook gezorgd voor extra respect bij de andere mensen van de samenleving, daardoor zijn er extra voornaamwoorden gecreëerd en kunnen mensen zich beter en gemakkelijker uiten over hoe ze zich voelen als persoo</w:t>
      </w:r>
      <w:r>
        <w:rPr>
          <w:sz w:val="20"/>
          <w:szCs w:val="20"/>
        </w:rPr>
        <w:t>n. Door de groei van de LGBTQ+ community was er ook erg veel nood aan extra genderneutrale voornaamwoorden en dit heeft de Engelstalige wereld goed opgevangen. De laatste 20 jaar heeft er dus voor gezorgd dat er steeds meer genderneutrale voornaamwoorden z</w:t>
      </w:r>
      <w:r>
        <w:rPr>
          <w:sz w:val="20"/>
          <w:szCs w:val="20"/>
        </w:rPr>
        <w:t xml:space="preserve">ijn gecreëerd. Nu is het af te wachten wat de evolutie de volgende 20 jaar zal zijn, hopelijk worden deze woorden in de toekomst ook meer in de spreektaal geïntegreerd. </w:t>
      </w:r>
    </w:p>
    <w:p w14:paraId="0000003F" w14:textId="77777777" w:rsidR="002C32CA" w:rsidRDefault="002C32CA">
      <w:pPr>
        <w:spacing w:before="240" w:after="240"/>
        <w:rPr>
          <w:b/>
        </w:rPr>
      </w:pPr>
    </w:p>
    <w:p w14:paraId="00000040" w14:textId="77777777" w:rsidR="002C32CA" w:rsidRDefault="002C32CA"/>
    <w:p w14:paraId="00000041" w14:textId="77777777" w:rsidR="002C32CA" w:rsidRDefault="002C32CA"/>
    <w:p w14:paraId="00000042" w14:textId="77777777" w:rsidR="002C32CA" w:rsidRDefault="002C32CA"/>
    <w:p w14:paraId="00000043" w14:textId="77777777" w:rsidR="002C32CA" w:rsidRDefault="002C32CA"/>
    <w:p w14:paraId="00000044" w14:textId="77777777" w:rsidR="002C32CA" w:rsidRDefault="002C32CA"/>
    <w:p w14:paraId="00000045" w14:textId="77777777" w:rsidR="002C32CA" w:rsidRDefault="002C32CA"/>
    <w:p w14:paraId="00000046" w14:textId="77777777" w:rsidR="002C32CA" w:rsidRDefault="002C32CA"/>
    <w:p w14:paraId="00000047" w14:textId="77777777" w:rsidR="002C32CA" w:rsidRDefault="002C32CA"/>
    <w:p w14:paraId="00000048" w14:textId="77777777" w:rsidR="002C32CA" w:rsidRDefault="002C32CA"/>
    <w:p w14:paraId="00000049" w14:textId="77777777" w:rsidR="002C32CA" w:rsidRDefault="002C32CA"/>
    <w:p w14:paraId="0000004A" w14:textId="77777777" w:rsidR="002C32CA" w:rsidRDefault="002C32CA"/>
    <w:p w14:paraId="0000004B" w14:textId="77777777" w:rsidR="002C32CA" w:rsidRDefault="002C32CA"/>
    <w:p w14:paraId="0000004C" w14:textId="77777777" w:rsidR="002C32CA" w:rsidRDefault="002C32CA"/>
    <w:p w14:paraId="0000004D" w14:textId="77777777" w:rsidR="002C32CA" w:rsidRDefault="002C32CA"/>
    <w:p w14:paraId="0000004E" w14:textId="77777777" w:rsidR="002C32CA" w:rsidRDefault="002C32CA"/>
    <w:p w14:paraId="0000004F" w14:textId="77777777" w:rsidR="002C32CA" w:rsidRDefault="00BF17EA">
      <w:pPr>
        <w:spacing w:line="480" w:lineRule="auto"/>
        <w:rPr>
          <w:sz w:val="24"/>
          <w:szCs w:val="24"/>
        </w:rPr>
      </w:pPr>
      <w:r>
        <w:rPr>
          <w:sz w:val="24"/>
          <w:szCs w:val="24"/>
        </w:rPr>
        <w:t xml:space="preserve">Berger, M. (2019, 15 december). </w:t>
      </w:r>
      <w:r>
        <w:rPr>
          <w:i/>
          <w:sz w:val="24"/>
          <w:szCs w:val="24"/>
        </w:rPr>
        <w:t>A guide to how gender-neutral language is developing around the world</w:t>
      </w:r>
      <w:r>
        <w:rPr>
          <w:sz w:val="24"/>
          <w:szCs w:val="24"/>
        </w:rPr>
        <w:t xml:space="preserve">. Washington Post. Geraadpleegd op 12 mei 2022, van </w:t>
      </w:r>
      <w:hyperlink r:id="rId4">
        <w:r>
          <w:rPr>
            <w:color w:val="1155CC"/>
            <w:sz w:val="24"/>
            <w:szCs w:val="24"/>
            <w:u w:val="single"/>
          </w:rPr>
          <w:t>https:</w:t>
        </w:r>
        <w:r>
          <w:rPr>
            <w:color w:val="1155CC"/>
            <w:sz w:val="24"/>
            <w:szCs w:val="24"/>
            <w:u w:val="single"/>
          </w:rPr>
          <w:t>//www.washingtonpost.com/world/2019/12/15/guide-how-gender-neutral-language-is-developing-around-world/</w:t>
        </w:r>
      </w:hyperlink>
    </w:p>
    <w:p w14:paraId="00000050" w14:textId="77777777" w:rsidR="002C32CA" w:rsidRDefault="00BF17EA">
      <w:pPr>
        <w:spacing w:line="480" w:lineRule="auto"/>
        <w:rPr>
          <w:sz w:val="24"/>
          <w:szCs w:val="24"/>
        </w:rPr>
      </w:pPr>
      <w:r>
        <w:rPr>
          <w:i/>
          <w:sz w:val="24"/>
          <w:szCs w:val="24"/>
        </w:rPr>
        <w:t>What’s the Deal with Gender Pronouns? Why Language Matters</w:t>
      </w:r>
      <w:r>
        <w:rPr>
          <w:sz w:val="24"/>
          <w:szCs w:val="24"/>
        </w:rPr>
        <w:t xml:space="preserve">. (2022). Better Up. Geraadpleegd op 12 mei 2022, van </w:t>
      </w:r>
      <w:hyperlink r:id="rId5">
        <w:r>
          <w:rPr>
            <w:color w:val="1155CC"/>
            <w:sz w:val="24"/>
            <w:szCs w:val="24"/>
            <w:u w:val="single"/>
          </w:rPr>
          <w:t>https://www.betterup.com/blog/the-deal-with-gender-pronouns</w:t>
        </w:r>
      </w:hyperlink>
    </w:p>
    <w:p w14:paraId="00000051" w14:textId="77777777" w:rsidR="002C32CA" w:rsidRDefault="00BF17EA">
      <w:pPr>
        <w:spacing w:line="480" w:lineRule="auto"/>
        <w:rPr>
          <w:sz w:val="24"/>
          <w:szCs w:val="24"/>
        </w:rPr>
      </w:pPr>
      <w:r>
        <w:rPr>
          <w:i/>
          <w:sz w:val="24"/>
          <w:szCs w:val="24"/>
        </w:rPr>
        <w:t>Gender and Grammar: The Singular âTheyâ</w:t>
      </w:r>
      <w:r>
        <w:rPr>
          <w:sz w:val="24"/>
          <w:szCs w:val="24"/>
        </w:rPr>
        <w:t>. (2020). Taylor &amp; Francis. Geraadpleegd op 12 mei 2022, van https://www.tandfonline.com/doi/full/10.1080/15290824.201</w:t>
      </w:r>
      <w:r>
        <w:rPr>
          <w:sz w:val="24"/>
          <w:szCs w:val="24"/>
        </w:rPr>
        <w:t>8.1419037</w:t>
      </w:r>
    </w:p>
    <w:p w14:paraId="00000052" w14:textId="77777777" w:rsidR="002C32CA" w:rsidRDefault="00BF17EA">
      <w:pPr>
        <w:spacing w:line="480" w:lineRule="auto"/>
        <w:rPr>
          <w:i/>
          <w:sz w:val="24"/>
          <w:szCs w:val="24"/>
        </w:rPr>
      </w:pPr>
      <w:r>
        <w:rPr>
          <w:i/>
          <w:sz w:val="24"/>
          <w:szCs w:val="24"/>
        </w:rPr>
        <w:lastRenderedPageBreak/>
        <w:t>Blog, S. (2021, 21 oktober). The Evolution of Gender Pronouns — How, Why to Use Them in Email. All Together. Geraadpleegd op 12 mei 2022, van https://alltogether.swe.org/2021/06/evolution-of-gender-pronouns/</w:t>
      </w:r>
    </w:p>
    <w:p w14:paraId="00000053" w14:textId="77777777" w:rsidR="002C32CA" w:rsidRDefault="002C32CA">
      <w:pPr>
        <w:spacing w:line="480" w:lineRule="auto"/>
        <w:rPr>
          <w:i/>
          <w:sz w:val="24"/>
          <w:szCs w:val="24"/>
        </w:rPr>
      </w:pPr>
    </w:p>
    <w:p w14:paraId="00000054" w14:textId="77777777" w:rsidR="002C32CA" w:rsidRDefault="00BF17EA">
      <w:pPr>
        <w:spacing w:line="480" w:lineRule="auto"/>
        <w:rPr>
          <w:sz w:val="24"/>
          <w:szCs w:val="24"/>
        </w:rPr>
      </w:pPr>
      <w:r>
        <w:rPr>
          <w:i/>
          <w:sz w:val="24"/>
          <w:szCs w:val="24"/>
        </w:rPr>
        <w:t>Tracing the history of gender-neutral</w:t>
      </w:r>
      <w:r>
        <w:rPr>
          <w:i/>
          <w:sz w:val="24"/>
          <w:szCs w:val="24"/>
        </w:rPr>
        <w:t xml:space="preserve"> pronouns</w:t>
      </w:r>
      <w:r>
        <w:rPr>
          <w:sz w:val="24"/>
          <w:szCs w:val="24"/>
        </w:rPr>
        <w:t>. (2020, 29 januari). College of Liberal Arts &amp; Sciences at Illinois. Geraadpleegd op 12 mei 2022, van https://las.illinois.edu/news/2020-01-29/tracing-history-gender-neutral-pronouns</w:t>
      </w:r>
    </w:p>
    <w:p w14:paraId="00000055" w14:textId="77777777" w:rsidR="002C32CA" w:rsidRDefault="002C32CA">
      <w:pPr>
        <w:spacing w:line="480" w:lineRule="auto"/>
        <w:ind w:left="720"/>
        <w:rPr>
          <w:i/>
          <w:sz w:val="24"/>
          <w:szCs w:val="24"/>
        </w:rPr>
      </w:pPr>
    </w:p>
    <w:p w14:paraId="00000056" w14:textId="77777777" w:rsidR="002C32CA" w:rsidRDefault="00BF17EA">
      <w:pPr>
        <w:spacing w:line="480" w:lineRule="auto"/>
        <w:rPr>
          <w:sz w:val="24"/>
          <w:szCs w:val="24"/>
        </w:rPr>
      </w:pPr>
      <w:r>
        <w:rPr>
          <w:i/>
          <w:sz w:val="24"/>
          <w:szCs w:val="24"/>
        </w:rPr>
        <w:t>Gender and Grammar: The Singular âTheyâ</w:t>
      </w:r>
      <w:r>
        <w:rPr>
          <w:sz w:val="24"/>
          <w:szCs w:val="24"/>
        </w:rPr>
        <w:t>. (2021). Taylor &amp; Fran</w:t>
      </w:r>
      <w:r>
        <w:rPr>
          <w:sz w:val="24"/>
          <w:szCs w:val="24"/>
        </w:rPr>
        <w:t>cis. Geraadpleegd op 12 mei 2022, van https://www.tandfonline.com/doi/full/10.1080/15290824.2018.1419037</w:t>
      </w:r>
    </w:p>
    <w:p w14:paraId="00000057" w14:textId="77777777" w:rsidR="002C32CA" w:rsidRDefault="002C32CA">
      <w:pPr>
        <w:spacing w:line="480" w:lineRule="auto"/>
        <w:ind w:left="720"/>
        <w:rPr>
          <w:sz w:val="24"/>
          <w:szCs w:val="24"/>
        </w:rPr>
      </w:pPr>
    </w:p>
    <w:p w14:paraId="00000058" w14:textId="77777777" w:rsidR="002C32CA" w:rsidRDefault="00BF17EA">
      <w:pPr>
        <w:spacing w:line="480" w:lineRule="auto"/>
        <w:rPr>
          <w:sz w:val="24"/>
          <w:szCs w:val="24"/>
        </w:rPr>
      </w:pPr>
      <w:r>
        <w:rPr>
          <w:i/>
          <w:sz w:val="24"/>
          <w:szCs w:val="24"/>
        </w:rPr>
        <w:t>Gender and Grammar: The Singular âTheyâ</w:t>
      </w:r>
      <w:r>
        <w:rPr>
          <w:sz w:val="24"/>
          <w:szCs w:val="24"/>
        </w:rPr>
        <w:t>. (2021). Taylor &amp; Francis. Geraadpleegd op 12 mei 2022, van https://www.tandfonline.com/doi/full/10.1080/15290</w:t>
      </w:r>
      <w:r>
        <w:rPr>
          <w:sz w:val="24"/>
          <w:szCs w:val="24"/>
        </w:rPr>
        <w:t>824.2018.1419037</w:t>
      </w:r>
    </w:p>
    <w:p w14:paraId="00000059" w14:textId="77777777" w:rsidR="002C32CA" w:rsidRDefault="00BF17EA">
      <w:pPr>
        <w:spacing w:line="480" w:lineRule="auto"/>
        <w:rPr>
          <w:sz w:val="24"/>
          <w:szCs w:val="24"/>
        </w:rPr>
      </w:pPr>
      <w:r>
        <w:rPr>
          <w:sz w:val="24"/>
          <w:szCs w:val="24"/>
        </w:rPr>
        <w:tab/>
      </w:r>
    </w:p>
    <w:p w14:paraId="0000005A" w14:textId="77777777" w:rsidR="002C32CA" w:rsidRDefault="002C32CA">
      <w:pPr>
        <w:spacing w:line="480" w:lineRule="auto"/>
        <w:ind w:left="720"/>
        <w:rPr>
          <w:sz w:val="24"/>
          <w:szCs w:val="24"/>
        </w:rPr>
      </w:pPr>
    </w:p>
    <w:p w14:paraId="0000005B" w14:textId="77777777" w:rsidR="002C32CA" w:rsidRDefault="002C32CA"/>
    <w:sectPr w:rsidR="002C32C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2CA"/>
    <w:rsid w:val="002C32CA"/>
    <w:rsid w:val="00BF17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59BD4-7862-419E-84F4-F3803AD6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etterup.com/blog/the-deal-with-gender-pronouns" TargetMode="External"/><Relationship Id="rId4" Type="http://schemas.openxmlformats.org/officeDocument/2006/relationships/hyperlink" Target="https://www.washingtonpost.com/world/2019/12/15/guide-how-gender-neutral-language-is-developing-around-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6212</Characters>
  <Application>Microsoft Office Word</Application>
  <DocSecurity>0</DocSecurity>
  <Lines>51</Lines>
  <Paragraphs>14</Paragraphs>
  <ScaleCrop>false</ScaleCrop>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Sofie Verreydt</cp:lastModifiedBy>
  <cp:revision>2</cp:revision>
  <dcterms:created xsi:type="dcterms:W3CDTF">2022-05-12T16:56:00Z</dcterms:created>
  <dcterms:modified xsi:type="dcterms:W3CDTF">2022-05-12T16:56:00Z</dcterms:modified>
</cp:coreProperties>
</file>