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E9" w:rsidRPr="00CC1FC5" w:rsidRDefault="009F0EE9" w:rsidP="00CC1FC5">
      <w:pPr>
        <w:shd w:val="clear" w:color="auto" w:fill="FFFFFF"/>
        <w:spacing w:after="75"/>
        <w:ind w:left="720" w:right="0"/>
        <w:jc w:val="center"/>
        <w:outlineLvl w:val="0"/>
        <w:rPr>
          <w:rFonts w:ascii="Franklin Gothic Heavy" w:eastAsia="Times New Roman" w:hAnsi="Franklin Gothic Heavy" w:cs="Helvetica"/>
          <w:i/>
          <w:emboss/>
          <w:color w:val="31849B" w:themeColor="accent5" w:themeShade="BF"/>
          <w:kern w:val="36"/>
          <w:sz w:val="48"/>
          <w:szCs w:val="36"/>
          <w:u w:val="thick" w:color="000000" w:themeColor="text1"/>
          <w:lang w:val="en-US" w:eastAsia="el-GR"/>
        </w:rPr>
      </w:pPr>
      <w:r w:rsidRPr="00CC1FC5">
        <w:rPr>
          <w:rFonts w:ascii="Franklin Gothic Heavy" w:eastAsia="Times New Roman" w:hAnsi="Franklin Gothic Heavy" w:cs="Helvetica"/>
          <w:b/>
          <w:i/>
          <w:emboss/>
          <w:color w:val="31849B" w:themeColor="accent5" w:themeShade="BF"/>
          <w:kern w:val="36"/>
          <w:sz w:val="48"/>
          <w:szCs w:val="36"/>
          <w:u w:val="thick" w:color="000000" w:themeColor="text1"/>
          <w:lang w:val="en-US" w:eastAsia="el-GR"/>
        </w:rPr>
        <w:t xml:space="preserve">Youth Unemployment Rate in </w:t>
      </w:r>
      <w:r w:rsidRPr="00CC1FC5">
        <w:rPr>
          <w:rFonts w:ascii="Franklin Gothic Heavy" w:eastAsia="Times New Roman" w:hAnsi="Franklin Gothic Heavy" w:cs="Helvetica"/>
          <w:i/>
          <w:emboss/>
          <w:color w:val="31849B" w:themeColor="accent5" w:themeShade="BF"/>
          <w:kern w:val="36"/>
          <w:sz w:val="48"/>
          <w:szCs w:val="36"/>
          <w:u w:val="thick" w:color="000000" w:themeColor="text1"/>
          <w:lang w:val="en-US" w:eastAsia="el-GR"/>
        </w:rPr>
        <w:t>Germany</w:t>
      </w:r>
    </w:p>
    <w:p w:rsidR="00BE735F" w:rsidRPr="00CC1FC5" w:rsidRDefault="009F0EE9" w:rsidP="009F0EE9">
      <w:pPr>
        <w:pStyle w:val="2"/>
        <w:shd w:val="clear" w:color="auto" w:fill="FFFFFF"/>
        <w:spacing w:before="75" w:after="150" w:line="315" w:lineRule="atLeast"/>
        <w:jc w:val="both"/>
        <w:rPr>
          <w:rFonts w:ascii="Arial" w:hAnsi="Arial" w:cs="Arial"/>
          <w:b w:val="0"/>
          <w:color w:val="auto"/>
          <w:sz w:val="28"/>
          <w:shd w:val="clear" w:color="auto" w:fill="FFFFFF"/>
          <w:lang w:val="en-US"/>
        </w:rPr>
      </w:pPr>
      <w:r w:rsidRPr="00CC1FC5">
        <w:rPr>
          <w:rFonts w:ascii="Arial" w:hAnsi="Arial" w:cs="Arial"/>
          <w:b w:val="0"/>
          <w:color w:val="auto"/>
          <w:sz w:val="28"/>
          <w:shd w:val="clear" w:color="auto" w:fill="FFFFFF"/>
          <w:lang w:val="en-US"/>
        </w:rPr>
        <w:t>The number of 15-24-year-olds in Germany who are neither working nor in training is the lowest in the EU, official data for 2014 show.</w:t>
      </w:r>
      <w:r w:rsidRPr="00CC1FC5">
        <w:rPr>
          <w:b w:val="0"/>
          <w:sz w:val="28"/>
          <w:lang w:val="en-US"/>
        </w:rPr>
        <w:t> </w:t>
      </w:r>
      <w:r w:rsidRPr="00CC1FC5">
        <w:rPr>
          <w:rFonts w:ascii="Arial" w:hAnsi="Arial" w:cs="Arial"/>
          <w:b w:val="0"/>
          <w:color w:val="auto"/>
          <w:sz w:val="28"/>
          <w:shd w:val="clear" w:color="auto" w:fill="FFFFFF"/>
          <w:lang w:val="en-US"/>
        </w:rPr>
        <w:t xml:space="preserve">In 2014, there were 330,000 people aged 15 to 24 out of work, according to figures released by Germany's statistics office, </w:t>
      </w:r>
      <w:proofErr w:type="spellStart"/>
      <w:r w:rsidRPr="00CC1FC5">
        <w:rPr>
          <w:rFonts w:ascii="Arial" w:hAnsi="Arial" w:cs="Arial"/>
          <w:b w:val="0"/>
          <w:color w:val="auto"/>
          <w:sz w:val="28"/>
          <w:shd w:val="clear" w:color="auto" w:fill="FFFFFF"/>
          <w:lang w:val="en-US"/>
        </w:rPr>
        <w:t>Destatis</w:t>
      </w:r>
      <w:proofErr w:type="spellEnd"/>
      <w:r w:rsidRPr="00CC1FC5">
        <w:rPr>
          <w:rFonts w:ascii="Arial" w:hAnsi="Arial" w:cs="Arial"/>
          <w:b w:val="0"/>
          <w:color w:val="auto"/>
          <w:sz w:val="28"/>
          <w:shd w:val="clear" w:color="auto" w:fill="FFFFFF"/>
          <w:lang w:val="en-US"/>
        </w:rPr>
        <w:t>, on Tuesday. The office puts the rate of youth unemployment in Germany at 7.7 percent, the lowest in the EU.</w:t>
      </w:r>
      <w:r w:rsidRPr="00CC1FC5">
        <w:rPr>
          <w:rFonts w:ascii="Arial" w:hAnsi="Arial" w:cs="Arial"/>
          <w:b w:val="0"/>
          <w:color w:val="auto"/>
          <w:sz w:val="28"/>
          <w:shd w:val="clear" w:color="auto" w:fill="FFFFFF"/>
          <w:lang w:val="en-US"/>
        </w:rPr>
        <w:t xml:space="preserve"> </w:t>
      </w:r>
    </w:p>
    <w:p w:rsidR="009F0EE9" w:rsidRPr="00CC1FC5" w:rsidRDefault="009F0EE9" w:rsidP="00CC1FC5">
      <w:pPr>
        <w:spacing w:line="276" w:lineRule="atLeast"/>
        <w:ind w:right="0"/>
        <w:jc w:val="both"/>
        <w:rPr>
          <w:rFonts w:ascii="Helvetica" w:hAnsi="Helvetica" w:cs="Helvetica"/>
          <w:color w:val="000000"/>
          <w:sz w:val="28"/>
          <w:szCs w:val="26"/>
          <w:lang w:val="en-US"/>
        </w:rPr>
      </w:pPr>
      <w:r w:rsidRPr="00CC1FC5">
        <w:rPr>
          <w:rFonts w:ascii="Helvetica" w:hAnsi="Helvetica" w:cs="Helvetica"/>
          <w:bCs/>
          <w:color w:val="000000"/>
          <w:sz w:val="28"/>
          <w:szCs w:val="26"/>
          <w:lang w:val="en-US"/>
        </w:rPr>
        <w:t xml:space="preserve">Youth Unemployment Rate in Germany decreased to 7 percent in September from 7.10 percent in August of 2015. Youth Unemployment Rate in Germany averaged 9.65 </w:t>
      </w:r>
      <w:r w:rsidRPr="00CC1FC5">
        <w:rPr>
          <w:rFonts w:ascii="Arial" w:hAnsi="Arial" w:cs="Arial"/>
          <w:sz w:val="28"/>
          <w:szCs w:val="26"/>
          <w:shd w:val="clear" w:color="auto" w:fill="FFFFFF"/>
          <w:lang w:val="en-US"/>
        </w:rPr>
        <w:t>percent</w:t>
      </w:r>
      <w:r w:rsidRPr="00CC1FC5">
        <w:rPr>
          <w:rFonts w:ascii="Helvetica" w:hAnsi="Helvetica" w:cs="Helvetica"/>
          <w:bCs/>
          <w:color w:val="000000"/>
          <w:sz w:val="28"/>
          <w:szCs w:val="26"/>
          <w:lang w:val="en-US"/>
        </w:rPr>
        <w:t xml:space="preserve"> from 1991 until 2015, reaching an all time high of 15.60 percent in May of 2005 and a record low of 5.70 percent in February of 1991. Youth Unemployment Rate in Germany is reported by the </w:t>
      </w:r>
      <w:proofErr w:type="spellStart"/>
      <w:r w:rsidRPr="00CC1FC5">
        <w:rPr>
          <w:rFonts w:ascii="Helvetica" w:hAnsi="Helvetica" w:cs="Helvetica"/>
          <w:bCs/>
          <w:color w:val="000000"/>
          <w:sz w:val="28"/>
          <w:szCs w:val="26"/>
          <w:lang w:val="en-US"/>
        </w:rPr>
        <w:t>Eurostat</w:t>
      </w:r>
      <w:proofErr w:type="spellEnd"/>
      <w:r w:rsidRPr="00CC1FC5">
        <w:rPr>
          <w:rFonts w:ascii="Helvetica" w:hAnsi="Helvetica" w:cs="Helvetica"/>
          <w:bCs/>
          <w:color w:val="000000"/>
          <w:sz w:val="28"/>
          <w:szCs w:val="26"/>
          <w:lang w:val="en-US"/>
        </w:rPr>
        <w:t>.</w:t>
      </w:r>
    </w:p>
    <w:p w:rsidR="007C46B7" w:rsidRDefault="00BE735F" w:rsidP="00CC1FC5">
      <w:pPr>
        <w:ind w:left="-142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6474854" cy="2962275"/>
            <wp:effectExtent l="19050" t="0" r="2146" b="0"/>
            <wp:docPr id="1" name="Εικόνα 1" descr="C:\Documents and Settings\Owner\Επιφάνεια εργασίας\foto olga\handball fotos\germany-youth-unemployment-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Επιφάνεια εργασίας\foto olga\handball fotos\germany-youth-unemployment-r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54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5F" w:rsidRDefault="00BE735F">
      <w:pPr>
        <w:rPr>
          <w:rFonts w:ascii="Arial" w:hAnsi="Arial" w:cs="Arial"/>
          <w:lang w:val="en-US"/>
        </w:rPr>
      </w:pPr>
    </w:p>
    <w:tbl>
      <w:tblPr>
        <w:tblW w:w="12026" w:type="dxa"/>
        <w:tblInd w:w="-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559"/>
        <w:gridCol w:w="1276"/>
        <w:gridCol w:w="1417"/>
        <w:gridCol w:w="1843"/>
        <w:gridCol w:w="1417"/>
        <w:gridCol w:w="3237"/>
      </w:tblGrid>
      <w:tr w:rsidR="00FC640B" w:rsidRPr="00BE735F" w:rsidTr="00FC640B">
        <w:trPr>
          <w:tblHeader/>
        </w:trPr>
        <w:tc>
          <w:tcPr>
            <w:tcW w:w="127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Actual</w:t>
            </w:r>
            <w:proofErr w:type="spellEnd"/>
            <w:r w:rsid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        </w:t>
            </w:r>
          </w:p>
        </w:tc>
        <w:tc>
          <w:tcPr>
            <w:tcW w:w="1559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Previous</w:t>
            </w:r>
            <w:proofErr w:type="spellEnd"/>
            <w:r w:rsid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Highest</w:t>
            </w:r>
            <w:proofErr w:type="spellEnd"/>
            <w:r w:rsid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Lowest</w:t>
            </w:r>
            <w:proofErr w:type="spellEnd"/>
            <w:r w:rsid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         </w:t>
            </w:r>
          </w:p>
        </w:tc>
        <w:tc>
          <w:tcPr>
            <w:tcW w:w="1843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Dates</w:t>
            </w:r>
            <w:proofErr w:type="spellEnd"/>
            <w:r w:rsid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          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Unit</w:t>
            </w:r>
            <w:proofErr w:type="spellEnd"/>
            <w:r w:rsid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n-US" w:eastAsia="el-GR"/>
              </w:rPr>
              <w:t xml:space="preserve">  </w:t>
            </w:r>
          </w:p>
        </w:tc>
        <w:tc>
          <w:tcPr>
            <w:tcW w:w="323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BE735F" w:rsidRPr="00BE735F" w:rsidRDefault="00BE735F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BE735F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Frequency</w:t>
            </w:r>
            <w:proofErr w:type="spellEnd"/>
          </w:p>
        </w:tc>
      </w:tr>
      <w:tr w:rsidR="00FC640B" w:rsidRPr="00FC640B" w:rsidTr="00FC640B">
        <w:trPr>
          <w:tblHeader/>
        </w:trPr>
        <w:tc>
          <w:tcPr>
            <w:tcW w:w="127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7.00</w:t>
            </w:r>
          </w:p>
        </w:tc>
        <w:tc>
          <w:tcPr>
            <w:tcW w:w="1559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7.10</w:t>
            </w:r>
          </w:p>
        </w:tc>
        <w:tc>
          <w:tcPr>
            <w:tcW w:w="1276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15.60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5.70</w:t>
            </w:r>
          </w:p>
        </w:tc>
        <w:tc>
          <w:tcPr>
            <w:tcW w:w="1843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1991 - 2015</w:t>
            </w:r>
          </w:p>
        </w:tc>
        <w:tc>
          <w:tcPr>
            <w:tcW w:w="141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percent</w:t>
            </w:r>
            <w:proofErr w:type="spellEnd"/>
          </w:p>
        </w:tc>
        <w:tc>
          <w:tcPr>
            <w:tcW w:w="3237" w:type="dxa"/>
            <w:tcBorders>
              <w:top w:val="nil"/>
              <w:bottom w:val="single" w:sz="12" w:space="0" w:color="DDDDDD"/>
            </w:tcBorders>
            <w:shd w:val="clear" w:color="auto" w:fill="FAFAFA"/>
            <w:tcMar>
              <w:top w:w="60" w:type="dxa"/>
              <w:left w:w="45" w:type="dxa"/>
              <w:bottom w:w="60" w:type="dxa"/>
              <w:right w:w="0" w:type="dxa"/>
            </w:tcMar>
            <w:hideMark/>
          </w:tcPr>
          <w:p w:rsidR="00FC640B" w:rsidRPr="00FC640B" w:rsidRDefault="00FC640B" w:rsidP="00FC640B">
            <w:pPr>
              <w:spacing w:line="315" w:lineRule="atLeast"/>
              <w:ind w:right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</w:pPr>
            <w:proofErr w:type="spellStart"/>
            <w:r w:rsidRPr="00FC640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el-GR"/>
              </w:rPr>
              <w:t>Monthly</w:t>
            </w:r>
            <w:proofErr w:type="spellEnd"/>
          </w:p>
        </w:tc>
      </w:tr>
    </w:tbl>
    <w:p w:rsidR="00BE735F" w:rsidRDefault="00BE735F" w:rsidP="00FC640B">
      <w:pPr>
        <w:rPr>
          <w:rFonts w:ascii="Arial" w:hAnsi="Arial" w:cs="Arial"/>
          <w:lang w:val="en-US"/>
        </w:rPr>
      </w:pPr>
    </w:p>
    <w:p w:rsidR="00BE735F" w:rsidRPr="00BE735F" w:rsidRDefault="00BE735F" w:rsidP="00BE735F">
      <w:pPr>
        <w:spacing w:line="276" w:lineRule="atLeast"/>
        <w:ind w:right="0"/>
        <w:jc w:val="both"/>
        <w:rPr>
          <w:rFonts w:ascii="Helvetica" w:hAnsi="Helvetica" w:cs="Helvetica"/>
          <w:bCs/>
          <w:color w:val="000000"/>
          <w:sz w:val="28"/>
          <w:szCs w:val="26"/>
          <w:lang w:val="en-US"/>
        </w:rPr>
      </w:pPr>
      <w:r w:rsidRPr="00BE735F">
        <w:rPr>
          <w:rFonts w:ascii="Helvetica" w:hAnsi="Helvetica" w:cs="Helvetica"/>
          <w:bCs/>
          <w:color w:val="000000"/>
          <w:sz w:val="28"/>
          <w:szCs w:val="26"/>
          <w:lang w:val="en-US"/>
        </w:rPr>
        <w:t>This page provides the latest reported value for - Germany Youth Unemployment Rate - plus previous releases, historical high and low, short-term forecast and long-term prediction, economic calendar, survey consensus and news. Content for - Germany Youth Unemployment Rate - was last refreshed on Monday, November 2, 2015.</w:t>
      </w:r>
      <w:r w:rsidRPr="00CC1FC5">
        <w:rPr>
          <w:rFonts w:ascii="Helvetica" w:hAnsi="Helvetica" w:cs="Helvetica"/>
          <w:bCs/>
          <w:color w:val="000000"/>
          <w:sz w:val="28"/>
          <w:szCs w:val="26"/>
          <w:lang w:val="en-US"/>
        </w:rPr>
        <w:t> </w:t>
      </w:r>
    </w:p>
    <w:p w:rsidR="00BE735F" w:rsidRPr="00CC1FC5" w:rsidRDefault="00BE735F" w:rsidP="00CC1FC5">
      <w:pPr>
        <w:spacing w:line="276" w:lineRule="atLeast"/>
        <w:ind w:right="0"/>
        <w:jc w:val="both"/>
        <w:rPr>
          <w:rFonts w:ascii="Helvetica" w:hAnsi="Helvetica" w:cs="Helvetica"/>
          <w:b/>
          <w:bCs/>
          <w:color w:val="000000"/>
          <w:sz w:val="28"/>
          <w:szCs w:val="26"/>
          <w:lang w:val="en-US"/>
        </w:rPr>
      </w:pPr>
    </w:p>
    <w:sectPr w:rsidR="00BE735F" w:rsidRPr="00CC1FC5" w:rsidSect="009F0EE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951"/>
    <w:multiLevelType w:val="hybridMultilevel"/>
    <w:tmpl w:val="D5687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EE9"/>
    <w:rsid w:val="001507FE"/>
    <w:rsid w:val="007C46B7"/>
    <w:rsid w:val="009F0EE9"/>
    <w:rsid w:val="00BE735F"/>
    <w:rsid w:val="00CC1FC5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B7"/>
  </w:style>
  <w:style w:type="paragraph" w:styleId="1">
    <w:name w:val="heading 1"/>
    <w:basedOn w:val="a"/>
    <w:link w:val="1Char"/>
    <w:uiPriority w:val="9"/>
    <w:qFormat/>
    <w:rsid w:val="009F0EE9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0E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F0EE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apple-converted-space">
    <w:name w:val="apple-converted-space"/>
    <w:basedOn w:val="a0"/>
    <w:rsid w:val="009F0EE9"/>
  </w:style>
  <w:style w:type="character" w:customStyle="1" w:styleId="2Char">
    <w:name w:val="Επικεφαλίδα 2 Char"/>
    <w:basedOn w:val="a0"/>
    <w:link w:val="2"/>
    <w:uiPriority w:val="9"/>
    <w:semiHidden/>
    <w:rsid w:val="009F0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BE735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E73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735F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FC640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FC64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99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8FA58-F784-4390-A708-D1161BA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2015-11-02T20:13:00Z</dcterms:created>
  <dcterms:modified xsi:type="dcterms:W3CDTF">2015-11-02T21:42:00Z</dcterms:modified>
</cp:coreProperties>
</file>