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E7903" w14:textId="77777777" w:rsidR="001733CC" w:rsidRDefault="001733CC">
      <w:r>
        <w:rPr>
          <w:noProof/>
          <w:lang w:eastAsia="hr-HR"/>
        </w:rPr>
        <w:drawing>
          <wp:anchor distT="0" distB="0" distL="114300" distR="114300" simplePos="0" relativeHeight="251662336" behindDoc="1" locked="0" layoutInCell="1" allowOverlap="1" wp14:anchorId="21138669" wp14:editId="1B4ED098">
            <wp:simplePos x="0" y="0"/>
            <wp:positionH relativeFrom="column">
              <wp:posOffset>652780</wp:posOffset>
            </wp:positionH>
            <wp:positionV relativeFrom="paragraph">
              <wp:posOffset>0</wp:posOffset>
            </wp:positionV>
            <wp:extent cx="4572000" cy="2743200"/>
            <wp:effectExtent l="0" t="0" r="0" b="0"/>
            <wp:wrapTight wrapText="bothSides">
              <wp:wrapPolygon edited="0">
                <wp:start x="0" y="0"/>
                <wp:lineTo x="0" y="21400"/>
                <wp:lineTo x="21480" y="21400"/>
                <wp:lineTo x="21480" y="0"/>
                <wp:lineTo x="0" y="0"/>
              </wp:wrapPolygon>
            </wp:wrapTight>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143553EA" w14:textId="77777777" w:rsidR="001733CC" w:rsidRDefault="001733CC"/>
    <w:p w14:paraId="5CE0FA18" w14:textId="77777777" w:rsidR="001733CC" w:rsidRDefault="001733CC"/>
    <w:p w14:paraId="3DE74C80" w14:textId="77777777" w:rsidR="001733CC" w:rsidRDefault="001733CC"/>
    <w:p w14:paraId="6D6EA5E9" w14:textId="77777777" w:rsidR="001733CC" w:rsidRDefault="001733CC"/>
    <w:p w14:paraId="48DFCC90" w14:textId="77777777" w:rsidR="001733CC" w:rsidRDefault="001733CC"/>
    <w:p w14:paraId="4CB77FF6" w14:textId="77777777" w:rsidR="001733CC" w:rsidRDefault="001733CC"/>
    <w:p w14:paraId="36B4DD6E" w14:textId="77777777" w:rsidR="001733CC" w:rsidRDefault="001733CC"/>
    <w:p w14:paraId="539F8F5D" w14:textId="77777777" w:rsidR="001733CC" w:rsidRDefault="001733CC"/>
    <w:p w14:paraId="2B4BCACA" w14:textId="77777777" w:rsidR="001733CC" w:rsidRDefault="001733CC"/>
    <w:p w14:paraId="03E9F3D7" w14:textId="77777777" w:rsidR="001733CC" w:rsidRDefault="001733CC"/>
    <w:p w14:paraId="18ADA5DA" w14:textId="77777777" w:rsidR="00501579" w:rsidRDefault="00D40229" w:rsidP="00253352">
      <w:pPr>
        <w:rPr>
          <w:sz w:val="24"/>
          <w:szCs w:val="24"/>
        </w:rPr>
      </w:pPr>
      <w:r w:rsidRPr="00253352">
        <w:rPr>
          <w:sz w:val="24"/>
          <w:szCs w:val="24"/>
        </w:rPr>
        <w:t xml:space="preserve">From the chart we can see that primary energy consumption </w:t>
      </w:r>
      <w:r w:rsidR="00501579">
        <w:rPr>
          <w:sz w:val="24"/>
          <w:szCs w:val="24"/>
        </w:rPr>
        <w:t>in Croatia,</w:t>
      </w:r>
      <w:r w:rsidR="00501579" w:rsidRPr="00253352">
        <w:rPr>
          <w:sz w:val="24"/>
          <w:szCs w:val="24"/>
        </w:rPr>
        <w:t xml:space="preserve"> </w:t>
      </w:r>
      <w:r w:rsidR="008D1A9D" w:rsidRPr="00253352">
        <w:rPr>
          <w:sz w:val="24"/>
          <w:szCs w:val="24"/>
        </w:rPr>
        <w:t>expressed in million tonnes of oil and oil equivalent</w:t>
      </w:r>
      <w:r w:rsidR="00501579">
        <w:rPr>
          <w:sz w:val="24"/>
          <w:szCs w:val="24"/>
        </w:rPr>
        <w:t xml:space="preserve"> (TOE), </w:t>
      </w:r>
      <w:r w:rsidRPr="00253352">
        <w:rPr>
          <w:sz w:val="24"/>
          <w:szCs w:val="24"/>
        </w:rPr>
        <w:t xml:space="preserve">has been more or less </w:t>
      </w:r>
      <w:r w:rsidR="008D1A9D" w:rsidRPr="00253352">
        <w:rPr>
          <w:sz w:val="24"/>
          <w:szCs w:val="24"/>
        </w:rPr>
        <w:t>dropping</w:t>
      </w:r>
      <w:r w:rsidRPr="00253352">
        <w:rPr>
          <w:sz w:val="24"/>
          <w:szCs w:val="24"/>
        </w:rPr>
        <w:t xml:space="preserve"> since 2008, and </w:t>
      </w:r>
      <w:r w:rsidR="00501579">
        <w:rPr>
          <w:sz w:val="24"/>
          <w:szCs w:val="24"/>
        </w:rPr>
        <w:t>is</w:t>
      </w:r>
      <w:r w:rsidRPr="00253352">
        <w:rPr>
          <w:sz w:val="24"/>
          <w:szCs w:val="24"/>
        </w:rPr>
        <w:t xml:space="preserve"> still well below our target</w:t>
      </w:r>
      <w:r w:rsidR="00501579">
        <w:rPr>
          <w:sz w:val="24"/>
          <w:szCs w:val="24"/>
        </w:rPr>
        <w:t xml:space="preserve"> of 11.15 TOE by 72,65%</w:t>
      </w:r>
      <w:r w:rsidRPr="00253352">
        <w:rPr>
          <w:sz w:val="24"/>
          <w:szCs w:val="24"/>
        </w:rPr>
        <w:t xml:space="preserve">. </w:t>
      </w:r>
    </w:p>
    <w:p w14:paraId="02B5B7E6" w14:textId="58C05DAE" w:rsidR="00253352" w:rsidRPr="00253352" w:rsidRDefault="00253352" w:rsidP="00253352">
      <w:pPr>
        <w:rPr>
          <w:rFonts w:eastAsia="Times New Roman" w:cs="Times New Roman"/>
          <w:sz w:val="24"/>
          <w:szCs w:val="24"/>
          <w:lang w:val="en-GB" w:eastAsia="en-GB"/>
        </w:rPr>
      </w:pPr>
      <w:r w:rsidRPr="00253352">
        <w:rPr>
          <w:rFonts w:eastAsia="Times New Roman" w:cs="Times New Roman"/>
          <w:sz w:val="24"/>
          <w:szCs w:val="24"/>
          <w:lang w:val="en-GB" w:eastAsia="en-GB"/>
        </w:rPr>
        <w:t>By "</w:t>
      </w:r>
      <w:r w:rsidRPr="00253352">
        <w:rPr>
          <w:rFonts w:eastAsia="Times New Roman" w:cs="Times New Roman"/>
          <w:bCs/>
          <w:sz w:val="24"/>
          <w:szCs w:val="24"/>
          <w:lang w:val="en-GB" w:eastAsia="en-GB"/>
        </w:rPr>
        <w:t>Primary</w:t>
      </w:r>
      <w:r w:rsidRPr="00253352">
        <w:rPr>
          <w:rFonts w:eastAsia="Times New Roman" w:cs="Times New Roman"/>
          <w:sz w:val="24"/>
          <w:szCs w:val="24"/>
          <w:lang w:val="en-GB" w:eastAsia="en-GB"/>
        </w:rPr>
        <w:t xml:space="preserve"> </w:t>
      </w:r>
      <w:r w:rsidRPr="00253352">
        <w:rPr>
          <w:rFonts w:eastAsia="Times New Roman" w:cs="Times New Roman"/>
          <w:bCs/>
          <w:sz w:val="24"/>
          <w:szCs w:val="24"/>
          <w:lang w:val="en-GB" w:eastAsia="en-GB"/>
        </w:rPr>
        <w:t>Energy</w:t>
      </w:r>
      <w:r w:rsidRPr="00253352">
        <w:rPr>
          <w:rFonts w:eastAsia="Times New Roman" w:cs="Times New Roman"/>
          <w:sz w:val="24"/>
          <w:szCs w:val="24"/>
          <w:lang w:val="en-GB" w:eastAsia="en-GB"/>
        </w:rPr>
        <w:t xml:space="preserve"> </w:t>
      </w:r>
      <w:r w:rsidRPr="00253352">
        <w:rPr>
          <w:rFonts w:eastAsia="Times New Roman" w:cs="Times New Roman"/>
          <w:bCs/>
          <w:sz w:val="24"/>
          <w:szCs w:val="24"/>
          <w:lang w:val="en-GB" w:eastAsia="en-GB"/>
        </w:rPr>
        <w:t>Consumption</w:t>
      </w:r>
      <w:r w:rsidRPr="00253352">
        <w:rPr>
          <w:rFonts w:eastAsia="Times New Roman" w:cs="Times New Roman"/>
          <w:sz w:val="24"/>
          <w:szCs w:val="24"/>
          <w:lang w:val="en-GB" w:eastAsia="en-GB"/>
        </w:rPr>
        <w:t xml:space="preserve">" is meant the Gross Inland </w:t>
      </w:r>
      <w:r w:rsidRPr="00253352">
        <w:rPr>
          <w:rFonts w:eastAsia="Times New Roman" w:cs="Times New Roman"/>
          <w:bCs/>
          <w:sz w:val="24"/>
          <w:szCs w:val="24"/>
          <w:lang w:val="en-GB" w:eastAsia="en-GB"/>
        </w:rPr>
        <w:t>Consumption</w:t>
      </w:r>
      <w:r w:rsidRPr="00253352">
        <w:rPr>
          <w:rFonts w:eastAsia="Times New Roman" w:cs="Times New Roman"/>
          <w:sz w:val="24"/>
          <w:szCs w:val="24"/>
          <w:lang w:val="en-GB" w:eastAsia="en-GB"/>
        </w:rPr>
        <w:t xml:space="preserve"> excluding all non-</w:t>
      </w:r>
      <w:r w:rsidRPr="00253352">
        <w:rPr>
          <w:rFonts w:eastAsia="Times New Roman" w:cs="Times New Roman"/>
          <w:bCs/>
          <w:sz w:val="24"/>
          <w:szCs w:val="24"/>
          <w:lang w:val="en-GB" w:eastAsia="en-GB"/>
        </w:rPr>
        <w:t>energy</w:t>
      </w:r>
      <w:r w:rsidRPr="00253352">
        <w:rPr>
          <w:rFonts w:eastAsia="Times New Roman" w:cs="Times New Roman"/>
          <w:sz w:val="24"/>
          <w:szCs w:val="24"/>
          <w:lang w:val="en-GB" w:eastAsia="en-GB"/>
        </w:rPr>
        <w:t xml:space="preserve"> use of </w:t>
      </w:r>
      <w:r w:rsidRPr="00253352">
        <w:rPr>
          <w:rFonts w:eastAsia="Times New Roman" w:cs="Times New Roman"/>
          <w:bCs/>
          <w:sz w:val="24"/>
          <w:szCs w:val="24"/>
          <w:lang w:val="en-GB" w:eastAsia="en-GB"/>
        </w:rPr>
        <w:t>energy</w:t>
      </w:r>
      <w:r w:rsidRPr="00253352">
        <w:rPr>
          <w:rFonts w:eastAsia="Times New Roman" w:cs="Times New Roman"/>
          <w:sz w:val="24"/>
          <w:szCs w:val="24"/>
          <w:lang w:val="en-GB" w:eastAsia="en-GB"/>
        </w:rPr>
        <w:t xml:space="preserve"> carriers (e.g. natural gas used not for combustion but for producing chemicals). This quantity is relevant for measuring the true </w:t>
      </w:r>
      <w:r w:rsidRPr="00253352">
        <w:rPr>
          <w:rFonts w:eastAsia="Times New Roman" w:cs="Times New Roman"/>
          <w:bCs/>
          <w:sz w:val="24"/>
          <w:szCs w:val="24"/>
          <w:lang w:val="en-GB" w:eastAsia="en-GB"/>
        </w:rPr>
        <w:t>energy</w:t>
      </w:r>
      <w:r w:rsidRPr="00253352">
        <w:rPr>
          <w:rFonts w:eastAsia="Times New Roman" w:cs="Times New Roman"/>
          <w:sz w:val="24"/>
          <w:szCs w:val="24"/>
          <w:lang w:val="en-GB" w:eastAsia="en-GB"/>
        </w:rPr>
        <w:t xml:space="preserve"> </w:t>
      </w:r>
      <w:r w:rsidRPr="00253352">
        <w:rPr>
          <w:rFonts w:eastAsia="Times New Roman" w:cs="Times New Roman"/>
          <w:bCs/>
          <w:sz w:val="24"/>
          <w:szCs w:val="24"/>
          <w:lang w:val="en-GB" w:eastAsia="en-GB"/>
        </w:rPr>
        <w:t>consumption</w:t>
      </w:r>
      <w:r w:rsidRPr="00253352">
        <w:rPr>
          <w:rFonts w:eastAsia="Times New Roman" w:cs="Times New Roman"/>
          <w:sz w:val="24"/>
          <w:szCs w:val="24"/>
          <w:lang w:val="en-GB" w:eastAsia="en-GB"/>
        </w:rPr>
        <w:t xml:space="preserve"> and for comparing it to the Europe 2020</w:t>
      </w:r>
      <w:r>
        <w:rPr>
          <w:rFonts w:eastAsia="Times New Roman" w:cs="Times New Roman"/>
          <w:sz w:val="24"/>
          <w:szCs w:val="24"/>
          <w:lang w:val="en-GB" w:eastAsia="en-GB"/>
        </w:rPr>
        <w:t>.</w:t>
      </w:r>
    </w:p>
    <w:p w14:paraId="413C210C" w14:textId="7E54A9E2" w:rsidR="001733CC" w:rsidRDefault="00253352">
      <w:r>
        <w:rPr>
          <w:sz w:val="24"/>
          <w:szCs w:val="24"/>
        </w:rPr>
        <w:t>Our good trend is unfortunately</w:t>
      </w:r>
      <w:r w:rsidR="00D40229" w:rsidRPr="00253352">
        <w:rPr>
          <w:sz w:val="24"/>
          <w:szCs w:val="24"/>
        </w:rPr>
        <w:t xml:space="preserve"> not because of </w:t>
      </w:r>
      <w:r>
        <w:rPr>
          <w:sz w:val="24"/>
          <w:szCs w:val="24"/>
        </w:rPr>
        <w:t xml:space="preserve">high energy efficiency in consumption, </w:t>
      </w:r>
      <w:r w:rsidR="00D40229" w:rsidRPr="00253352">
        <w:rPr>
          <w:sz w:val="24"/>
          <w:szCs w:val="24"/>
        </w:rPr>
        <w:t xml:space="preserve">but because of </w:t>
      </w:r>
      <w:r w:rsidR="00B66C28">
        <w:rPr>
          <w:sz w:val="24"/>
          <w:szCs w:val="24"/>
        </w:rPr>
        <w:t xml:space="preserve">general </w:t>
      </w:r>
      <w:r w:rsidR="00D40229" w:rsidRPr="00253352">
        <w:rPr>
          <w:sz w:val="24"/>
          <w:szCs w:val="24"/>
        </w:rPr>
        <w:t>underdevelopment</w:t>
      </w:r>
      <w:r w:rsidR="00D40229">
        <w:t>.</w:t>
      </w:r>
      <w:r w:rsidR="001733CC">
        <w:br w:type="page"/>
      </w:r>
    </w:p>
    <w:p w14:paraId="3ACCAE10" w14:textId="77777777" w:rsidR="001733CC" w:rsidRDefault="00EE09E4">
      <w:r>
        <w:rPr>
          <w:noProof/>
          <w:lang w:eastAsia="hr-HR"/>
        </w:rPr>
        <w:lastRenderedPageBreak/>
        <w:drawing>
          <wp:anchor distT="0" distB="0" distL="114300" distR="114300" simplePos="0" relativeHeight="251663360" behindDoc="0" locked="0" layoutInCell="1" allowOverlap="1" wp14:anchorId="0A0FA49C" wp14:editId="152AA168">
            <wp:simplePos x="0" y="0"/>
            <wp:positionH relativeFrom="column">
              <wp:posOffset>535487</wp:posOffset>
            </wp:positionH>
            <wp:positionV relativeFrom="paragraph">
              <wp:posOffset>0</wp:posOffset>
            </wp:positionV>
            <wp:extent cx="4572000" cy="2743200"/>
            <wp:effectExtent l="0" t="0" r="0" b="0"/>
            <wp:wrapSquare wrapText="bothSides"/>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593E7A72" w14:textId="77777777" w:rsidR="001733CC" w:rsidRDefault="001733CC"/>
    <w:p w14:paraId="4CEC5110" w14:textId="77777777" w:rsidR="00542E80" w:rsidRDefault="00542E80"/>
    <w:p w14:paraId="20EEB100" w14:textId="77777777" w:rsidR="009F1891" w:rsidRPr="009F1891" w:rsidRDefault="009F1891">
      <w:pPr>
        <w:rPr>
          <w:sz w:val="40"/>
          <w:szCs w:val="40"/>
        </w:rPr>
      </w:pPr>
    </w:p>
    <w:p w14:paraId="00090CD8" w14:textId="77777777" w:rsidR="009F1891" w:rsidRDefault="009F1891"/>
    <w:p w14:paraId="763E64A7" w14:textId="77777777" w:rsidR="009F1891" w:rsidRDefault="009F1891" w:rsidP="009F1891">
      <w:pPr>
        <w:tabs>
          <w:tab w:val="left" w:pos="3405"/>
        </w:tabs>
      </w:pPr>
      <w:r>
        <w:tab/>
      </w:r>
    </w:p>
    <w:p w14:paraId="52A83E9F" w14:textId="77777777" w:rsidR="009F1891" w:rsidRDefault="009F1891"/>
    <w:p w14:paraId="1B774D3B" w14:textId="77777777" w:rsidR="009F1891" w:rsidRDefault="009F1891"/>
    <w:p w14:paraId="4ADA8063" w14:textId="77777777" w:rsidR="009F1891" w:rsidRDefault="009F1891"/>
    <w:p w14:paraId="3B7C3965" w14:textId="77777777" w:rsidR="00EE09E4" w:rsidRDefault="00EE09E4"/>
    <w:p w14:paraId="27B2B2F5" w14:textId="77777777" w:rsidR="009F1891" w:rsidRPr="005A200E" w:rsidRDefault="009F1891">
      <w:pPr>
        <w:rPr>
          <w:color w:val="000000" w:themeColor="text1"/>
          <w:sz w:val="24"/>
          <w:szCs w:val="24"/>
        </w:rPr>
      </w:pPr>
    </w:p>
    <w:p w14:paraId="5B6B6207" w14:textId="71704B49" w:rsidR="00016363" w:rsidRDefault="00DD2D27" w:rsidP="00DD2D27">
      <w:pPr>
        <w:spacing w:after="0" w:line="276" w:lineRule="auto"/>
        <w:ind w:right="-11"/>
        <w:rPr>
          <w:sz w:val="24"/>
          <w:szCs w:val="24"/>
        </w:rPr>
      </w:pPr>
      <w:r w:rsidRPr="005A200E">
        <w:rPr>
          <w:sz w:val="24"/>
          <w:szCs w:val="24"/>
        </w:rPr>
        <w:t>Total energy consumption in Croatia  increased at an average annual rate of</w:t>
      </w:r>
      <w:r w:rsidR="00C2188A">
        <w:rPr>
          <w:sz w:val="24"/>
          <w:szCs w:val="24"/>
        </w:rPr>
        <w:t xml:space="preserve"> 0.1% in the period 2000 - 2007</w:t>
      </w:r>
      <w:r w:rsidRPr="005A200E">
        <w:rPr>
          <w:sz w:val="24"/>
          <w:szCs w:val="24"/>
        </w:rPr>
        <w:t xml:space="preserve">. The fastest growth in </w:t>
      </w:r>
      <w:r w:rsidR="00016363">
        <w:rPr>
          <w:sz w:val="24"/>
          <w:szCs w:val="24"/>
        </w:rPr>
        <w:t>emissions</w:t>
      </w:r>
      <w:r w:rsidRPr="005A200E">
        <w:rPr>
          <w:sz w:val="24"/>
          <w:szCs w:val="24"/>
        </w:rPr>
        <w:t xml:space="preserve"> was </w:t>
      </w:r>
      <w:r w:rsidR="00016363">
        <w:rPr>
          <w:sz w:val="24"/>
          <w:szCs w:val="24"/>
        </w:rPr>
        <w:t>recorded</w:t>
      </w:r>
      <w:r w:rsidR="00C2188A">
        <w:rPr>
          <w:sz w:val="24"/>
          <w:szCs w:val="24"/>
        </w:rPr>
        <w:t xml:space="preserve"> in the period from 2000 – 2007</w:t>
      </w:r>
      <w:bookmarkStart w:id="0" w:name="_GoBack"/>
      <w:bookmarkEnd w:id="0"/>
      <w:r w:rsidRPr="005A200E">
        <w:rPr>
          <w:sz w:val="24"/>
          <w:szCs w:val="24"/>
        </w:rPr>
        <w:t xml:space="preserve">, when the growth rate of the total </w:t>
      </w:r>
      <w:r w:rsidR="00016363">
        <w:rPr>
          <w:sz w:val="24"/>
          <w:szCs w:val="24"/>
        </w:rPr>
        <w:t xml:space="preserve">energy </w:t>
      </w:r>
      <w:r w:rsidRPr="005A200E">
        <w:rPr>
          <w:sz w:val="24"/>
          <w:szCs w:val="24"/>
        </w:rPr>
        <w:t xml:space="preserve">consumption was 3.1%. After 2008 total </w:t>
      </w:r>
      <w:r w:rsidR="00016363">
        <w:rPr>
          <w:sz w:val="24"/>
          <w:szCs w:val="24"/>
        </w:rPr>
        <w:t>GHG emissions</w:t>
      </w:r>
      <w:r w:rsidRPr="005A200E">
        <w:rPr>
          <w:sz w:val="24"/>
          <w:szCs w:val="24"/>
        </w:rPr>
        <w:t xml:space="preserve"> decreased at an annual rate of 2.4%. </w:t>
      </w:r>
    </w:p>
    <w:p w14:paraId="30514F19" w14:textId="77777777" w:rsidR="00016363" w:rsidRDefault="00016363" w:rsidP="00DD2D27">
      <w:pPr>
        <w:spacing w:after="0" w:line="276" w:lineRule="auto"/>
        <w:ind w:right="-11"/>
        <w:rPr>
          <w:sz w:val="24"/>
          <w:szCs w:val="24"/>
        </w:rPr>
      </w:pPr>
    </w:p>
    <w:p w14:paraId="0D881DA0" w14:textId="2AA87B9E" w:rsidR="00DD2D27" w:rsidRPr="005A200E" w:rsidRDefault="00DD2D27" w:rsidP="00DD2D27">
      <w:pPr>
        <w:spacing w:after="0" w:line="276" w:lineRule="auto"/>
        <w:ind w:right="-11"/>
        <w:rPr>
          <w:sz w:val="24"/>
          <w:szCs w:val="24"/>
        </w:rPr>
      </w:pPr>
      <w:r w:rsidRPr="005A200E">
        <w:rPr>
          <w:rFonts w:ascii="Calibri" w:eastAsia="Calibri" w:hAnsi="Calibri" w:cs="Calibri"/>
          <w:sz w:val="24"/>
          <w:szCs w:val="24"/>
        </w:rPr>
        <w:t>Very fast growth was recorded in wind electricity and in solar and geothermal heat consumption in the period after 2008. Heat and coal and coke had significantly lower shares in the final energy consumption</w:t>
      </w:r>
      <w:r w:rsidR="00016363">
        <w:rPr>
          <w:rFonts w:ascii="Calibri" w:eastAsia="Calibri" w:hAnsi="Calibri" w:cs="Calibri"/>
          <w:sz w:val="24"/>
          <w:szCs w:val="24"/>
        </w:rPr>
        <w:t xml:space="preserve"> which then caused a drop in GHG emissions</w:t>
      </w:r>
      <w:r w:rsidRPr="005A200E">
        <w:rPr>
          <w:rFonts w:ascii="Calibri" w:eastAsia="Calibri" w:hAnsi="Calibri" w:cs="Calibri"/>
          <w:sz w:val="24"/>
          <w:szCs w:val="24"/>
        </w:rPr>
        <w:t xml:space="preserve">. </w:t>
      </w:r>
    </w:p>
    <w:p w14:paraId="39E53494" w14:textId="77777777" w:rsidR="00DD2D27" w:rsidRPr="005A200E" w:rsidRDefault="00DD2D27" w:rsidP="00DD2D27">
      <w:pPr>
        <w:spacing w:after="0" w:line="276" w:lineRule="auto"/>
        <w:ind w:right="-11"/>
        <w:rPr>
          <w:sz w:val="24"/>
          <w:szCs w:val="24"/>
        </w:rPr>
      </w:pPr>
    </w:p>
    <w:p w14:paraId="291EE71C" w14:textId="77777777" w:rsidR="005A200E" w:rsidRPr="005A200E" w:rsidRDefault="005A200E" w:rsidP="005A200E">
      <w:pPr>
        <w:rPr>
          <w:color w:val="000000" w:themeColor="text1"/>
          <w:sz w:val="24"/>
          <w:szCs w:val="24"/>
        </w:rPr>
      </w:pPr>
      <w:r w:rsidRPr="005A200E">
        <w:rPr>
          <w:color w:val="000000" w:themeColor="text1"/>
          <w:sz w:val="24"/>
          <w:szCs w:val="24"/>
        </w:rPr>
        <w:t xml:space="preserve">An increace of </w:t>
      </w:r>
      <w:r w:rsidRPr="005A200E">
        <w:rPr>
          <w:rFonts w:cs="Arial"/>
          <w:color w:val="000000" w:themeColor="text1"/>
          <w:sz w:val="24"/>
          <w:szCs w:val="24"/>
        </w:rPr>
        <w:t>20% in energy efficiency is one of our targets by 2020 by introducing eco-friendly technologies such as biogas and wind and solar turbines.</w:t>
      </w:r>
    </w:p>
    <w:p w14:paraId="2194F2BE" w14:textId="77777777" w:rsidR="00DD2D27" w:rsidRDefault="00DD2D27">
      <w:pPr>
        <w:rPr>
          <w:color w:val="000000" w:themeColor="text1"/>
          <w:sz w:val="24"/>
          <w:szCs w:val="24"/>
        </w:rPr>
      </w:pPr>
    </w:p>
    <w:p w14:paraId="6A312722" w14:textId="77777777" w:rsidR="005A200E" w:rsidRDefault="005A200E">
      <w:pPr>
        <w:rPr>
          <w:color w:val="000000" w:themeColor="text1"/>
          <w:sz w:val="24"/>
          <w:szCs w:val="24"/>
        </w:rPr>
      </w:pPr>
    </w:p>
    <w:p w14:paraId="7AB72175" w14:textId="77777777" w:rsidR="005A200E" w:rsidRDefault="005A200E">
      <w:pPr>
        <w:rPr>
          <w:color w:val="000000" w:themeColor="text1"/>
          <w:sz w:val="24"/>
          <w:szCs w:val="24"/>
        </w:rPr>
      </w:pPr>
    </w:p>
    <w:p w14:paraId="5E8B8B19" w14:textId="77777777" w:rsidR="005A200E" w:rsidRDefault="005A200E">
      <w:pPr>
        <w:rPr>
          <w:color w:val="000000" w:themeColor="text1"/>
          <w:sz w:val="24"/>
          <w:szCs w:val="24"/>
        </w:rPr>
      </w:pPr>
    </w:p>
    <w:p w14:paraId="2A643931" w14:textId="77777777" w:rsidR="005A200E" w:rsidRPr="005A200E" w:rsidRDefault="005A200E">
      <w:pPr>
        <w:rPr>
          <w:color w:val="000000" w:themeColor="text1"/>
          <w:sz w:val="24"/>
          <w:szCs w:val="24"/>
        </w:rPr>
      </w:pPr>
    </w:p>
    <w:p w14:paraId="61F2D0FC" w14:textId="77777777" w:rsidR="00DD2D27" w:rsidRDefault="00DD2D27">
      <w:pPr>
        <w:rPr>
          <w:color w:val="000000" w:themeColor="text1"/>
        </w:rPr>
      </w:pPr>
    </w:p>
    <w:p w14:paraId="3B4838A0" w14:textId="77777777" w:rsidR="00CE57A5" w:rsidRDefault="00CE57A5">
      <w:pPr>
        <w:rPr>
          <w:color w:val="000000" w:themeColor="text1"/>
        </w:rPr>
      </w:pPr>
    </w:p>
    <w:p w14:paraId="5CB12D3D" w14:textId="77777777" w:rsidR="00CE57A5" w:rsidRPr="00507BB7" w:rsidRDefault="00CE57A5">
      <w:pPr>
        <w:rPr>
          <w:color w:val="000000" w:themeColor="text1"/>
        </w:rPr>
      </w:pPr>
    </w:p>
    <w:p w14:paraId="14215235" w14:textId="77777777" w:rsidR="009F1891" w:rsidRDefault="009F1891"/>
    <w:p w14:paraId="5D5B74F2" w14:textId="77777777" w:rsidR="00D7647B" w:rsidRDefault="00D7647B"/>
    <w:p w14:paraId="18A262E0" w14:textId="77777777" w:rsidR="00D7647B" w:rsidRDefault="00D7647B"/>
    <w:p w14:paraId="28B7E1A0" w14:textId="77777777" w:rsidR="00D7647B" w:rsidRDefault="00D7647B"/>
    <w:p w14:paraId="31577E15" w14:textId="77777777" w:rsidR="00D7647B" w:rsidRDefault="00D7647B"/>
    <w:p w14:paraId="048CC5FF" w14:textId="77777777" w:rsidR="00D40229" w:rsidRDefault="001E24D0" w:rsidP="00B83685">
      <w:pPr>
        <w:jc w:val="center"/>
      </w:pPr>
      <w:r>
        <w:rPr>
          <w:noProof/>
          <w:lang w:eastAsia="hr-HR"/>
        </w:rPr>
        <w:lastRenderedPageBreak/>
        <w:drawing>
          <wp:anchor distT="0" distB="0" distL="114300" distR="114300" simplePos="0" relativeHeight="251668480" behindDoc="1" locked="0" layoutInCell="1" allowOverlap="1" wp14:anchorId="1F7ED71E" wp14:editId="55879438">
            <wp:simplePos x="0" y="0"/>
            <wp:positionH relativeFrom="column">
              <wp:posOffset>522605</wp:posOffset>
            </wp:positionH>
            <wp:positionV relativeFrom="paragraph">
              <wp:posOffset>264160</wp:posOffset>
            </wp:positionV>
            <wp:extent cx="4572000" cy="2743200"/>
            <wp:effectExtent l="0" t="0" r="0" b="0"/>
            <wp:wrapSquare wrapText="bothSides"/>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27947D5D" w14:textId="77777777" w:rsidR="001E24D0" w:rsidRDefault="001E24D0" w:rsidP="00B83685">
      <w:pPr>
        <w:jc w:val="center"/>
      </w:pPr>
    </w:p>
    <w:p w14:paraId="069A1555" w14:textId="77777777" w:rsidR="001E24D0" w:rsidRDefault="001E24D0" w:rsidP="00B83685">
      <w:pPr>
        <w:jc w:val="center"/>
      </w:pPr>
    </w:p>
    <w:p w14:paraId="6031085D" w14:textId="77777777" w:rsidR="001E24D0" w:rsidRDefault="001E24D0" w:rsidP="00B83685">
      <w:pPr>
        <w:jc w:val="center"/>
      </w:pPr>
    </w:p>
    <w:p w14:paraId="541AB140" w14:textId="77777777" w:rsidR="001E24D0" w:rsidRDefault="001E24D0" w:rsidP="00B83685">
      <w:pPr>
        <w:jc w:val="center"/>
      </w:pPr>
    </w:p>
    <w:p w14:paraId="1F0EB972" w14:textId="77777777" w:rsidR="001E24D0" w:rsidRDefault="001E24D0" w:rsidP="00B83685">
      <w:pPr>
        <w:jc w:val="center"/>
      </w:pPr>
    </w:p>
    <w:p w14:paraId="12ED120C" w14:textId="77777777" w:rsidR="001E24D0" w:rsidRDefault="001E24D0" w:rsidP="00B83685">
      <w:pPr>
        <w:jc w:val="center"/>
      </w:pPr>
    </w:p>
    <w:p w14:paraId="2BDA22B6" w14:textId="77777777" w:rsidR="001E24D0" w:rsidRDefault="001E24D0" w:rsidP="00B83685">
      <w:pPr>
        <w:jc w:val="center"/>
      </w:pPr>
    </w:p>
    <w:p w14:paraId="6A727D7A" w14:textId="77777777" w:rsidR="001E24D0" w:rsidRDefault="001E24D0" w:rsidP="00B83685">
      <w:pPr>
        <w:jc w:val="center"/>
      </w:pPr>
    </w:p>
    <w:p w14:paraId="45449799" w14:textId="61266011" w:rsidR="001E24D0" w:rsidRDefault="001E24D0" w:rsidP="00B83685">
      <w:pPr>
        <w:jc w:val="center"/>
      </w:pPr>
    </w:p>
    <w:p w14:paraId="7378A018" w14:textId="77777777" w:rsidR="00D40229" w:rsidRDefault="00D40229" w:rsidP="00D40229">
      <w:pPr>
        <w:jc w:val="center"/>
      </w:pPr>
    </w:p>
    <w:p w14:paraId="0EFE1666" w14:textId="29B14497" w:rsidR="00C50908" w:rsidRDefault="00C50908" w:rsidP="00D40229">
      <w:pPr>
        <w:jc w:val="center"/>
      </w:pPr>
    </w:p>
    <w:p w14:paraId="44ADEF71" w14:textId="10A12EFF" w:rsidR="00C50908" w:rsidRDefault="00C50908" w:rsidP="00D40229">
      <w:pPr>
        <w:jc w:val="center"/>
      </w:pPr>
      <w:r>
        <w:rPr>
          <w:noProof/>
          <w:lang w:eastAsia="hr-HR"/>
        </w:rPr>
        <w:drawing>
          <wp:anchor distT="0" distB="0" distL="114300" distR="114300" simplePos="0" relativeHeight="251665408" behindDoc="0" locked="0" layoutInCell="1" allowOverlap="1" wp14:anchorId="74241FC4" wp14:editId="6DC34831">
            <wp:simplePos x="0" y="0"/>
            <wp:positionH relativeFrom="column">
              <wp:posOffset>524510</wp:posOffset>
            </wp:positionH>
            <wp:positionV relativeFrom="paragraph">
              <wp:posOffset>37465</wp:posOffset>
            </wp:positionV>
            <wp:extent cx="4572000" cy="2743200"/>
            <wp:effectExtent l="0" t="0" r="0" b="0"/>
            <wp:wrapTight wrapText="bothSides">
              <wp:wrapPolygon edited="0">
                <wp:start x="0" y="0"/>
                <wp:lineTo x="0" y="21400"/>
                <wp:lineTo x="21480" y="21400"/>
                <wp:lineTo x="21480" y="0"/>
                <wp:lineTo x="0" y="0"/>
              </wp:wrapPolygon>
            </wp:wrapTight>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5FC79837" w14:textId="77777777" w:rsidR="00C50908" w:rsidRDefault="00C50908" w:rsidP="00D40229">
      <w:pPr>
        <w:jc w:val="center"/>
      </w:pPr>
    </w:p>
    <w:p w14:paraId="072771D7" w14:textId="77777777" w:rsidR="00C50908" w:rsidRDefault="00C50908" w:rsidP="00D40229">
      <w:pPr>
        <w:jc w:val="center"/>
      </w:pPr>
    </w:p>
    <w:p w14:paraId="75A2BEEA" w14:textId="77777777" w:rsidR="00D40229" w:rsidRDefault="00D40229" w:rsidP="00D40229">
      <w:pPr>
        <w:jc w:val="center"/>
      </w:pPr>
    </w:p>
    <w:p w14:paraId="7F82FD22" w14:textId="77777777" w:rsidR="00D40229" w:rsidRDefault="00D40229" w:rsidP="00D40229">
      <w:pPr>
        <w:jc w:val="center"/>
      </w:pPr>
    </w:p>
    <w:p w14:paraId="5F35F15E" w14:textId="77777777" w:rsidR="00D40229" w:rsidRDefault="00D40229" w:rsidP="00D40229">
      <w:pPr>
        <w:jc w:val="center"/>
      </w:pPr>
    </w:p>
    <w:p w14:paraId="33799245" w14:textId="77777777" w:rsidR="00D40229" w:rsidRDefault="00D40229" w:rsidP="00D40229">
      <w:pPr>
        <w:jc w:val="center"/>
      </w:pPr>
    </w:p>
    <w:p w14:paraId="59ED22DA" w14:textId="77777777" w:rsidR="00D40229" w:rsidRDefault="00D40229" w:rsidP="00D40229">
      <w:pPr>
        <w:jc w:val="center"/>
      </w:pPr>
    </w:p>
    <w:p w14:paraId="795EF177" w14:textId="77777777" w:rsidR="00D40229" w:rsidRDefault="00D40229" w:rsidP="00D40229">
      <w:pPr>
        <w:jc w:val="center"/>
      </w:pPr>
    </w:p>
    <w:p w14:paraId="4A624E20" w14:textId="77777777" w:rsidR="00D40229" w:rsidRDefault="00D40229" w:rsidP="00D40229">
      <w:pPr>
        <w:jc w:val="center"/>
      </w:pPr>
    </w:p>
    <w:p w14:paraId="385C110B" w14:textId="77777777" w:rsidR="00D40229" w:rsidRDefault="00D40229" w:rsidP="00D40229">
      <w:pPr>
        <w:jc w:val="center"/>
      </w:pPr>
    </w:p>
    <w:p w14:paraId="3F06B0A8" w14:textId="17BDBF66" w:rsidR="00D40229" w:rsidRDefault="00D40229" w:rsidP="00D40229">
      <w:pPr>
        <w:jc w:val="center"/>
      </w:pPr>
    </w:p>
    <w:p w14:paraId="7EB3F8D1" w14:textId="5591090D" w:rsidR="00D40229" w:rsidRPr="00C50908" w:rsidRDefault="002F2CF6" w:rsidP="002F2CF6">
      <w:pPr>
        <w:rPr>
          <w:sz w:val="24"/>
          <w:szCs w:val="24"/>
        </w:rPr>
      </w:pPr>
      <w:r w:rsidRPr="00C50908">
        <w:rPr>
          <w:sz w:val="24"/>
          <w:szCs w:val="24"/>
        </w:rPr>
        <w:t>In the charts above, we can see that from 2010- 2012, the largest share in domestic energy consumption moved from energy and transport sector to household and services sector. The reason  can be the crysis in production sectors. A drastic increase in household and services sector share in total energy consumption could be a result of main economy focus in Croatia shifting more towards tourism.</w:t>
      </w:r>
    </w:p>
    <w:p w14:paraId="595D5752" w14:textId="77777777" w:rsidR="00D40229" w:rsidRDefault="00D40229" w:rsidP="00D40229">
      <w:pPr>
        <w:jc w:val="center"/>
      </w:pPr>
    </w:p>
    <w:p w14:paraId="6CEBC61E" w14:textId="77777777" w:rsidR="00D40229" w:rsidRDefault="00D40229" w:rsidP="00D40229">
      <w:pPr>
        <w:jc w:val="center"/>
      </w:pPr>
    </w:p>
    <w:p w14:paraId="2C1C6B3B" w14:textId="77777777" w:rsidR="00D40229" w:rsidRDefault="00D40229" w:rsidP="00D40229">
      <w:pPr>
        <w:jc w:val="center"/>
      </w:pPr>
    </w:p>
    <w:p w14:paraId="594A7380" w14:textId="77777777" w:rsidR="00D40229" w:rsidRDefault="00D40229" w:rsidP="00D40229">
      <w:pPr>
        <w:jc w:val="center"/>
      </w:pPr>
    </w:p>
    <w:p w14:paraId="183DD0C4" w14:textId="77777777" w:rsidR="00D40229" w:rsidRDefault="00D40229" w:rsidP="00D40229">
      <w:pPr>
        <w:jc w:val="center"/>
      </w:pPr>
    </w:p>
    <w:p w14:paraId="71103AAC" w14:textId="77777777" w:rsidR="005A200E" w:rsidRDefault="005A200E" w:rsidP="007C7361">
      <w:pPr>
        <w:spacing w:after="0" w:line="276" w:lineRule="auto"/>
        <w:ind w:right="-11"/>
      </w:pPr>
    </w:p>
    <w:p w14:paraId="16A7DE16" w14:textId="77777777" w:rsidR="005A200E" w:rsidRPr="005A200E" w:rsidRDefault="005A200E" w:rsidP="007C7361">
      <w:pPr>
        <w:spacing w:after="0" w:line="276" w:lineRule="auto"/>
        <w:ind w:right="-11"/>
        <w:rPr>
          <w:sz w:val="24"/>
          <w:szCs w:val="24"/>
        </w:rPr>
      </w:pPr>
      <w:r w:rsidRPr="005A200E">
        <w:rPr>
          <w:noProof/>
          <w:sz w:val="24"/>
          <w:szCs w:val="24"/>
          <w:lang w:eastAsia="hr-HR"/>
        </w:rPr>
        <w:lastRenderedPageBreak/>
        <w:drawing>
          <wp:anchor distT="0" distB="0" distL="114300" distR="114300" simplePos="0" relativeHeight="251660288" behindDoc="1" locked="0" layoutInCell="1" allowOverlap="1" wp14:anchorId="19AD7995" wp14:editId="2F1DF5A3">
            <wp:simplePos x="0" y="0"/>
            <wp:positionH relativeFrom="margin">
              <wp:posOffset>-43815</wp:posOffset>
            </wp:positionH>
            <wp:positionV relativeFrom="paragraph">
              <wp:posOffset>290830</wp:posOffset>
            </wp:positionV>
            <wp:extent cx="5716905" cy="3114675"/>
            <wp:effectExtent l="0" t="0" r="0" b="9525"/>
            <wp:wrapSquare wrapText="bothSides"/>
            <wp:docPr id="4" name="Slika 4" descr="Slikovni rezultat za plan praćenja emisija stakleničkih pli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plan praćenja emisija stakleničkih plinov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00E">
        <w:rPr>
          <w:sz w:val="24"/>
          <w:szCs w:val="24"/>
        </w:rPr>
        <w:t xml:space="preserve">Kilotons of greenhouse gasses </w:t>
      </w:r>
      <w:r>
        <w:rPr>
          <w:sz w:val="24"/>
          <w:szCs w:val="24"/>
        </w:rPr>
        <w:t>emissions</w:t>
      </w:r>
      <w:r w:rsidRPr="005A200E">
        <w:rPr>
          <w:sz w:val="24"/>
          <w:szCs w:val="24"/>
        </w:rPr>
        <w:t xml:space="preserve"> from 1990-2012 by sector</w:t>
      </w:r>
    </w:p>
    <w:p w14:paraId="40FFA060" w14:textId="77777777" w:rsidR="007C7361" w:rsidRDefault="007C7361" w:rsidP="007C7361">
      <w:pPr>
        <w:spacing w:after="0" w:line="276" w:lineRule="auto"/>
        <w:ind w:right="-11"/>
      </w:pPr>
    </w:p>
    <w:p w14:paraId="004435F4" w14:textId="77777777" w:rsidR="00C50908" w:rsidRDefault="00DD2D27" w:rsidP="00C50908">
      <w:pPr>
        <w:spacing w:after="0" w:line="276" w:lineRule="auto"/>
        <w:ind w:right="-11"/>
        <w:rPr>
          <w:sz w:val="24"/>
          <w:szCs w:val="24"/>
        </w:rPr>
      </w:pPr>
      <w:r w:rsidRPr="00C50908">
        <w:rPr>
          <w:sz w:val="24"/>
          <w:szCs w:val="24"/>
        </w:rPr>
        <w:t xml:space="preserve">In the chart above we can see that the inhabitants of Croatia from year 1990 to 2013 used </w:t>
      </w:r>
      <w:r w:rsidR="005A200E" w:rsidRPr="00C50908">
        <w:rPr>
          <w:sz w:val="24"/>
          <w:szCs w:val="24"/>
        </w:rPr>
        <w:t>fossil fuels as</w:t>
      </w:r>
      <w:r w:rsidRPr="00C50908">
        <w:rPr>
          <w:sz w:val="24"/>
          <w:szCs w:val="24"/>
        </w:rPr>
        <w:t xml:space="preserve"> </w:t>
      </w:r>
      <w:r w:rsidR="005A200E" w:rsidRPr="00C50908">
        <w:rPr>
          <w:sz w:val="24"/>
          <w:szCs w:val="24"/>
        </w:rPr>
        <w:t>primary energy sources because of high share of GHG emissions from energy sector</w:t>
      </w:r>
      <w:r w:rsidRPr="00C50908">
        <w:rPr>
          <w:sz w:val="24"/>
          <w:szCs w:val="24"/>
        </w:rPr>
        <w:t>. In the beginning coal wasn't really used, but its usage has slightly increased in 2008 along with hydro efficiency.</w:t>
      </w:r>
    </w:p>
    <w:p w14:paraId="68251CEA" w14:textId="77777777" w:rsidR="00C50908" w:rsidRDefault="00C50908" w:rsidP="00C50908">
      <w:pPr>
        <w:spacing w:after="0" w:line="276" w:lineRule="auto"/>
        <w:ind w:right="-11"/>
        <w:rPr>
          <w:sz w:val="24"/>
          <w:szCs w:val="24"/>
        </w:rPr>
      </w:pPr>
    </w:p>
    <w:p w14:paraId="7613E927" w14:textId="53D687D0" w:rsidR="007C7361" w:rsidRPr="00C50908" w:rsidRDefault="007C7361" w:rsidP="00C50908">
      <w:pPr>
        <w:spacing w:after="0" w:line="276" w:lineRule="auto"/>
        <w:ind w:right="-11"/>
        <w:rPr>
          <w:sz w:val="24"/>
          <w:szCs w:val="24"/>
        </w:rPr>
      </w:pPr>
      <w:r w:rsidRPr="00C50908">
        <w:rPr>
          <w:sz w:val="24"/>
          <w:szCs w:val="24"/>
        </w:rPr>
        <w:t>From the chart we can see a drastic change in GHG emissions from 1990 to 1995 because of the war in the Balkans. After that period an increase in emissions is visibile due to recovery of the general economy. Following the global economic crisis the chart shows a slight drop of GHG emissions, probably due to destabilisation of industry and energy sector.</w:t>
      </w:r>
    </w:p>
    <w:p w14:paraId="72D329E0" w14:textId="77777777" w:rsidR="00C50908" w:rsidRDefault="00C50908" w:rsidP="007C7361">
      <w:pPr>
        <w:rPr>
          <w:sz w:val="24"/>
          <w:szCs w:val="24"/>
        </w:rPr>
      </w:pPr>
    </w:p>
    <w:p w14:paraId="74E47892" w14:textId="54A17FCC" w:rsidR="007C7361" w:rsidRPr="00C50908" w:rsidRDefault="007C7361" w:rsidP="007C7361">
      <w:pPr>
        <w:rPr>
          <w:sz w:val="24"/>
          <w:szCs w:val="24"/>
        </w:rPr>
      </w:pPr>
      <w:r w:rsidRPr="00C50908">
        <w:rPr>
          <w:sz w:val="24"/>
          <w:szCs w:val="24"/>
        </w:rPr>
        <w:t>Most of the GHG emissions come from the energy sector, but that trend is dropping, hopefully because of new technologies that are more energy efficient and eco-friendly. Low shares of industrial and agricultural GHG emissions point to underdevelopment of</w:t>
      </w:r>
      <w:r w:rsidR="00CE57A5" w:rsidRPr="00C50908">
        <w:rPr>
          <w:sz w:val="24"/>
          <w:szCs w:val="24"/>
        </w:rPr>
        <w:t xml:space="preserve"> the </w:t>
      </w:r>
      <w:r w:rsidRPr="00C50908">
        <w:rPr>
          <w:sz w:val="24"/>
          <w:szCs w:val="24"/>
        </w:rPr>
        <w:t xml:space="preserve"> said sectors, but it would be great to keep the</w:t>
      </w:r>
      <w:r w:rsidR="00CE57A5" w:rsidRPr="00C50908">
        <w:rPr>
          <w:sz w:val="24"/>
          <w:szCs w:val="24"/>
        </w:rPr>
        <w:t>m that low due to responsible ma</w:t>
      </w:r>
      <w:r w:rsidRPr="00C50908">
        <w:rPr>
          <w:sz w:val="24"/>
          <w:szCs w:val="24"/>
        </w:rPr>
        <w:t>nagment.</w:t>
      </w:r>
      <w:r w:rsidR="005A200E" w:rsidRPr="00C50908">
        <w:rPr>
          <w:sz w:val="24"/>
          <w:szCs w:val="24"/>
        </w:rPr>
        <w:t xml:space="preserve"> The trend should follow the general trend of greenhouse gas emissions</w:t>
      </w:r>
      <w:r w:rsidR="001E24D0" w:rsidRPr="00C50908">
        <w:rPr>
          <w:sz w:val="24"/>
          <w:szCs w:val="24"/>
        </w:rPr>
        <w:t xml:space="preserve"> by sector in EU-countries as shown below.</w:t>
      </w:r>
    </w:p>
    <w:p w14:paraId="7BF27F88" w14:textId="52B0922B" w:rsidR="007C7361" w:rsidRDefault="00C50908">
      <w:r>
        <w:rPr>
          <w:noProof/>
          <w:lang w:eastAsia="hr-HR"/>
        </w:rPr>
        <w:drawing>
          <wp:anchor distT="0" distB="0" distL="114300" distR="114300" simplePos="0" relativeHeight="251661312" behindDoc="1" locked="0" layoutInCell="1" allowOverlap="1" wp14:anchorId="08A51C72" wp14:editId="1E8FD57E">
            <wp:simplePos x="0" y="0"/>
            <wp:positionH relativeFrom="column">
              <wp:posOffset>177165</wp:posOffset>
            </wp:positionH>
            <wp:positionV relativeFrom="paragraph">
              <wp:posOffset>90170</wp:posOffset>
            </wp:positionV>
            <wp:extent cx="5290185" cy="2492895"/>
            <wp:effectExtent l="0" t="0" r="0" b="0"/>
            <wp:wrapNone/>
            <wp:docPr id="5" name="clipImage" descr="https://screenshotscdn.firefoxusercontent.com/images/381cf23d-3e20-479a-a0fb-63f1396799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Image" descr="https://screenshotscdn.firefoxusercontent.com/images/381cf23d-3e20-479a-a0fb-63f1396799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0185" cy="24928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7361" w:rsidSect="00D4022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CCA8C" w14:textId="77777777" w:rsidR="00E760E3" w:rsidRDefault="00E760E3" w:rsidP="00D40229">
      <w:pPr>
        <w:spacing w:after="0" w:line="240" w:lineRule="auto"/>
      </w:pPr>
      <w:r>
        <w:separator/>
      </w:r>
    </w:p>
  </w:endnote>
  <w:endnote w:type="continuationSeparator" w:id="0">
    <w:p w14:paraId="518AAE69" w14:textId="77777777" w:rsidR="00E760E3" w:rsidRDefault="00E760E3" w:rsidP="00D4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C5E1D" w14:textId="77777777" w:rsidR="00E760E3" w:rsidRDefault="00E760E3" w:rsidP="00D40229">
      <w:pPr>
        <w:spacing w:after="0" w:line="240" w:lineRule="auto"/>
      </w:pPr>
      <w:r>
        <w:separator/>
      </w:r>
    </w:p>
  </w:footnote>
  <w:footnote w:type="continuationSeparator" w:id="0">
    <w:p w14:paraId="319A0951" w14:textId="77777777" w:rsidR="00E760E3" w:rsidRDefault="00E760E3" w:rsidP="00D40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91"/>
    <w:rsid w:val="00016363"/>
    <w:rsid w:val="001733CC"/>
    <w:rsid w:val="001E24D0"/>
    <w:rsid w:val="00253352"/>
    <w:rsid w:val="002F2CF6"/>
    <w:rsid w:val="003A7689"/>
    <w:rsid w:val="00402D7E"/>
    <w:rsid w:val="00420E09"/>
    <w:rsid w:val="00501579"/>
    <w:rsid w:val="00507BB7"/>
    <w:rsid w:val="00542E80"/>
    <w:rsid w:val="005926E7"/>
    <w:rsid w:val="005A200E"/>
    <w:rsid w:val="006E0E79"/>
    <w:rsid w:val="007C7361"/>
    <w:rsid w:val="008D1A9D"/>
    <w:rsid w:val="00971E3E"/>
    <w:rsid w:val="009F1891"/>
    <w:rsid w:val="00B66C28"/>
    <w:rsid w:val="00B83685"/>
    <w:rsid w:val="00BC3EAC"/>
    <w:rsid w:val="00C2188A"/>
    <w:rsid w:val="00C50908"/>
    <w:rsid w:val="00CE57A5"/>
    <w:rsid w:val="00D40229"/>
    <w:rsid w:val="00D7647B"/>
    <w:rsid w:val="00DD2D27"/>
    <w:rsid w:val="00DD707A"/>
    <w:rsid w:val="00E760E3"/>
    <w:rsid w:val="00EE09E4"/>
    <w:rsid w:val="00F51C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2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0229"/>
  </w:style>
  <w:style w:type="paragraph" w:styleId="Footer">
    <w:name w:val="footer"/>
    <w:basedOn w:val="Normal"/>
    <w:link w:val="FooterChar"/>
    <w:uiPriority w:val="99"/>
    <w:unhideWhenUsed/>
    <w:rsid w:val="00D402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0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2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0229"/>
  </w:style>
  <w:style w:type="paragraph" w:styleId="Footer">
    <w:name w:val="footer"/>
    <w:basedOn w:val="Normal"/>
    <w:link w:val="FooterChar"/>
    <w:uiPriority w:val="99"/>
    <w:unhideWhenUsed/>
    <w:rsid w:val="00D402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100"/>
              <a:t>Primary energy consumption</a:t>
            </a:r>
          </a:p>
          <a:p>
            <a:pPr>
              <a:defRPr sz="1400" b="0" i="0" u="none" strike="noStrike" kern="1200" spc="0" baseline="0">
                <a:solidFill>
                  <a:schemeClr val="tx1">
                    <a:lumMod val="65000"/>
                    <a:lumOff val="35000"/>
                  </a:schemeClr>
                </a:solidFill>
                <a:latin typeface="+mn-lt"/>
                <a:ea typeface="+mn-ea"/>
                <a:cs typeface="+mn-cs"/>
              </a:defRPr>
            </a:pPr>
            <a:r>
              <a:rPr lang="hr-HR" sz="1100"/>
              <a:t>in Croatia by million tonnes of oil equivalent (TOE)</a:t>
            </a:r>
          </a:p>
        </c:rich>
      </c:tx>
      <c:overlay val="0"/>
      <c:spPr>
        <a:noFill/>
        <a:ln>
          <a:noFill/>
        </a:ln>
        <a:effectLst/>
      </c:spPr>
    </c:title>
    <c:autoTitleDeleted val="0"/>
    <c:plotArea>
      <c:layout/>
      <c:barChart>
        <c:barDir val="col"/>
        <c:grouping val="clustered"/>
        <c:varyColors val="0"/>
        <c:ser>
          <c:idx val="0"/>
          <c:order val="0"/>
          <c:tx>
            <c:strRef>
              <c:f>'[b2e5b2e3 (1).xlsx]Hoja2'!$A$1</c:f>
              <c:strCache>
                <c:ptCount val="1"/>
                <c:pt idx="0">
                  <c:v>2008</c:v>
                </c:pt>
              </c:strCache>
            </c:strRef>
          </c:tx>
          <c:spPr>
            <a:solidFill>
              <a:schemeClr val="accent1"/>
            </a:solidFill>
            <a:ln>
              <a:noFill/>
            </a:ln>
            <a:effectLst/>
          </c:spPr>
          <c:invertIfNegative val="0"/>
          <c:val>
            <c:numRef>
              <c:f>'[b2e5b2e3 (1).xlsx]Hoja2'!$B$1</c:f>
              <c:numCache>
                <c:formatCode>0.00</c:formatCode>
                <c:ptCount val="1"/>
                <c:pt idx="0">
                  <c:v>9.1</c:v>
                </c:pt>
              </c:numCache>
            </c:numRef>
          </c:val>
        </c:ser>
        <c:ser>
          <c:idx val="1"/>
          <c:order val="1"/>
          <c:tx>
            <c:strRef>
              <c:f>'[b2e5b2e3 (1).xlsx]Hoja2'!$A$2</c:f>
              <c:strCache>
                <c:ptCount val="1"/>
                <c:pt idx="0">
                  <c:v>2009</c:v>
                </c:pt>
              </c:strCache>
            </c:strRef>
          </c:tx>
          <c:spPr>
            <a:solidFill>
              <a:schemeClr val="accent2"/>
            </a:solidFill>
            <a:ln>
              <a:noFill/>
            </a:ln>
            <a:effectLst/>
          </c:spPr>
          <c:invertIfNegative val="0"/>
          <c:val>
            <c:numRef>
              <c:f>'[b2e5b2e3 (1).xlsx]Hoja2'!$B$2</c:f>
              <c:numCache>
                <c:formatCode>0.00</c:formatCode>
                <c:ptCount val="1"/>
                <c:pt idx="0">
                  <c:v>8.9</c:v>
                </c:pt>
              </c:numCache>
            </c:numRef>
          </c:val>
        </c:ser>
        <c:ser>
          <c:idx val="2"/>
          <c:order val="2"/>
          <c:tx>
            <c:strRef>
              <c:f>'[b2e5b2e3 (1).xlsx]Hoja2'!$A$3</c:f>
              <c:strCache>
                <c:ptCount val="1"/>
                <c:pt idx="0">
                  <c:v>2010</c:v>
                </c:pt>
              </c:strCache>
            </c:strRef>
          </c:tx>
          <c:spPr>
            <a:solidFill>
              <a:schemeClr val="accent3"/>
            </a:solidFill>
            <a:ln>
              <a:noFill/>
            </a:ln>
            <a:effectLst/>
          </c:spPr>
          <c:invertIfNegative val="0"/>
          <c:val>
            <c:numRef>
              <c:f>'[b2e5b2e3 (1).xlsx]Hoja2'!$B$3</c:f>
              <c:numCache>
                <c:formatCode>0.00</c:formatCode>
                <c:ptCount val="1"/>
                <c:pt idx="0">
                  <c:v>8.8000000000000007</c:v>
                </c:pt>
              </c:numCache>
            </c:numRef>
          </c:val>
        </c:ser>
        <c:ser>
          <c:idx val="3"/>
          <c:order val="3"/>
          <c:tx>
            <c:strRef>
              <c:f>'[b2e5b2e3 (1).xlsx]Hoja2'!$A$4</c:f>
              <c:strCache>
                <c:ptCount val="1"/>
                <c:pt idx="0">
                  <c:v>2011</c:v>
                </c:pt>
              </c:strCache>
            </c:strRef>
          </c:tx>
          <c:spPr>
            <a:solidFill>
              <a:schemeClr val="accent4"/>
            </a:solidFill>
            <a:ln>
              <a:noFill/>
            </a:ln>
            <a:effectLst/>
          </c:spPr>
          <c:invertIfNegative val="0"/>
          <c:val>
            <c:numRef>
              <c:f>'[b2e5b2e3 (1).xlsx]Hoja2'!$B$4</c:f>
              <c:numCache>
                <c:formatCode>0.00</c:formatCode>
                <c:ptCount val="1"/>
                <c:pt idx="0">
                  <c:v>8.7000000000000011</c:v>
                </c:pt>
              </c:numCache>
            </c:numRef>
          </c:val>
        </c:ser>
        <c:ser>
          <c:idx val="4"/>
          <c:order val="4"/>
          <c:tx>
            <c:strRef>
              <c:f>'[b2e5b2e3 (1).xlsx]Hoja2'!$A$5</c:f>
              <c:strCache>
                <c:ptCount val="1"/>
                <c:pt idx="0">
                  <c:v>2012</c:v>
                </c:pt>
              </c:strCache>
            </c:strRef>
          </c:tx>
          <c:spPr>
            <a:solidFill>
              <a:schemeClr val="accent5"/>
            </a:solidFill>
            <a:ln>
              <a:noFill/>
            </a:ln>
            <a:effectLst/>
          </c:spPr>
          <c:invertIfNegative val="0"/>
          <c:val>
            <c:numRef>
              <c:f>'[b2e5b2e3 (1).xlsx]Hoja2'!$B$5</c:f>
              <c:numCache>
                <c:formatCode>0.00</c:formatCode>
                <c:ptCount val="1"/>
                <c:pt idx="0">
                  <c:v>8.3000000000000007</c:v>
                </c:pt>
              </c:numCache>
            </c:numRef>
          </c:val>
        </c:ser>
        <c:ser>
          <c:idx val="5"/>
          <c:order val="5"/>
          <c:tx>
            <c:strRef>
              <c:f>'[b2e5b2e3 (1).xlsx]Hoja2'!$A$6</c:f>
              <c:strCache>
                <c:ptCount val="1"/>
                <c:pt idx="0">
                  <c:v>2013</c:v>
                </c:pt>
              </c:strCache>
            </c:strRef>
          </c:tx>
          <c:spPr>
            <a:solidFill>
              <a:schemeClr val="accent6"/>
            </a:solidFill>
            <a:ln>
              <a:noFill/>
            </a:ln>
            <a:effectLst/>
          </c:spPr>
          <c:invertIfNegative val="0"/>
          <c:val>
            <c:numRef>
              <c:f>'[b2e5b2e3 (1).xlsx]Hoja2'!$B$6</c:f>
              <c:numCache>
                <c:formatCode>0.00</c:formatCode>
                <c:ptCount val="1"/>
                <c:pt idx="0">
                  <c:v>8</c:v>
                </c:pt>
              </c:numCache>
            </c:numRef>
          </c:val>
        </c:ser>
        <c:ser>
          <c:idx val="6"/>
          <c:order val="6"/>
          <c:tx>
            <c:strRef>
              <c:f>'[b2e5b2e3 (1).xlsx]Hoja2'!$A$7</c:f>
              <c:strCache>
                <c:ptCount val="1"/>
                <c:pt idx="0">
                  <c:v>2014</c:v>
                </c:pt>
              </c:strCache>
            </c:strRef>
          </c:tx>
          <c:spPr>
            <a:solidFill>
              <a:schemeClr val="accent1">
                <a:lumMod val="60000"/>
              </a:schemeClr>
            </a:solidFill>
            <a:ln>
              <a:noFill/>
            </a:ln>
            <a:effectLst/>
          </c:spPr>
          <c:invertIfNegative val="0"/>
          <c:val>
            <c:numRef>
              <c:f>'[b2e5b2e3 (1).xlsx]Hoja2'!$B$7</c:f>
              <c:numCache>
                <c:formatCode>0.00</c:formatCode>
                <c:ptCount val="1"/>
                <c:pt idx="0">
                  <c:v>7.7</c:v>
                </c:pt>
              </c:numCache>
            </c:numRef>
          </c:val>
        </c:ser>
        <c:ser>
          <c:idx val="7"/>
          <c:order val="7"/>
          <c:tx>
            <c:strRef>
              <c:f>'[b2e5b2e3 (1).xlsx]Hoja2'!$A$8</c:f>
              <c:strCache>
                <c:ptCount val="1"/>
                <c:pt idx="0">
                  <c:v>2015</c:v>
                </c:pt>
              </c:strCache>
            </c:strRef>
          </c:tx>
          <c:spPr>
            <a:solidFill>
              <a:schemeClr val="accent2">
                <a:lumMod val="60000"/>
              </a:schemeClr>
            </a:solidFill>
            <a:ln>
              <a:noFill/>
            </a:ln>
            <a:effectLst/>
          </c:spPr>
          <c:invertIfNegative val="0"/>
          <c:val>
            <c:numRef>
              <c:f>'[b2e5b2e3 (1).xlsx]Hoja2'!$B$8</c:f>
              <c:numCache>
                <c:formatCode>0.00</c:formatCode>
                <c:ptCount val="1"/>
                <c:pt idx="0">
                  <c:v>8</c:v>
                </c:pt>
              </c:numCache>
            </c:numRef>
          </c:val>
        </c:ser>
        <c:ser>
          <c:idx val="8"/>
          <c:order val="8"/>
          <c:tx>
            <c:strRef>
              <c:f>'[b2e5b2e3 (1).xlsx]Hoja2'!$A$9</c:f>
              <c:strCache>
                <c:ptCount val="1"/>
                <c:pt idx="0">
                  <c:v>2016</c:v>
                </c:pt>
              </c:strCache>
            </c:strRef>
          </c:tx>
          <c:spPr>
            <a:solidFill>
              <a:schemeClr val="accent3">
                <a:lumMod val="60000"/>
              </a:schemeClr>
            </a:solidFill>
            <a:ln>
              <a:noFill/>
            </a:ln>
            <a:effectLst/>
          </c:spPr>
          <c:invertIfNegative val="0"/>
          <c:val>
            <c:numRef>
              <c:f>'[b2e5b2e3 (1).xlsx]Hoja2'!$B$9</c:f>
              <c:numCache>
                <c:formatCode>0.00</c:formatCode>
                <c:ptCount val="1"/>
                <c:pt idx="0">
                  <c:v>8.1</c:v>
                </c:pt>
              </c:numCache>
            </c:numRef>
          </c:val>
        </c:ser>
        <c:ser>
          <c:idx val="9"/>
          <c:order val="9"/>
          <c:tx>
            <c:strRef>
              <c:f>'[b2e5b2e3 (1).xlsx]Hoja2'!$A$10</c:f>
              <c:strCache>
                <c:ptCount val="1"/>
                <c:pt idx="0">
                  <c:v>Target</c:v>
                </c:pt>
              </c:strCache>
            </c:strRef>
          </c:tx>
          <c:spPr>
            <a:solidFill>
              <a:schemeClr val="accent4">
                <a:lumMod val="60000"/>
              </a:schemeClr>
            </a:solidFill>
            <a:ln>
              <a:noFill/>
            </a:ln>
            <a:effectLst/>
          </c:spPr>
          <c:invertIfNegative val="0"/>
          <c:val>
            <c:numRef>
              <c:f>'[b2e5b2e3 (1).xlsx]Hoja2'!$B$10</c:f>
              <c:numCache>
                <c:formatCode>General</c:formatCode>
                <c:ptCount val="1"/>
                <c:pt idx="0">
                  <c:v>11.5</c:v>
                </c:pt>
              </c:numCache>
            </c:numRef>
          </c:val>
        </c:ser>
        <c:dLbls>
          <c:showLegendKey val="0"/>
          <c:showVal val="0"/>
          <c:showCatName val="0"/>
          <c:showSerName val="0"/>
          <c:showPercent val="0"/>
          <c:showBubbleSize val="0"/>
        </c:dLbls>
        <c:gapWidth val="219"/>
        <c:overlap val="-27"/>
        <c:axId val="170550400"/>
        <c:axId val="170552320"/>
      </c:barChart>
      <c:catAx>
        <c:axId val="17055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0552320"/>
        <c:crosses val="autoZero"/>
        <c:auto val="1"/>
        <c:lblAlgn val="ctr"/>
        <c:lblOffset val="100"/>
        <c:noMultiLvlLbl val="0"/>
      </c:catAx>
      <c:valAx>
        <c:axId val="170552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055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Greenhouse</a:t>
            </a:r>
            <a:r>
              <a:rPr lang="hr-HR" baseline="0"/>
              <a:t> gas emisssions intensity of energy consumption for Croatia</a:t>
            </a:r>
            <a:endParaRPr lang="hr-H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'[b2e5b2e3 (1).xlsx]Hoja3'!$A$3:$A$18</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'[b2e5b2e3 (1).xlsx]Hoja3'!$B$3:$B$18</c:f>
              <c:numCache>
                <c:formatCode>General</c:formatCode>
                <c:ptCount val="16"/>
                <c:pt idx="0">
                  <c:v>100</c:v>
                </c:pt>
                <c:pt idx="1">
                  <c:v>100.18</c:v>
                </c:pt>
                <c:pt idx="2">
                  <c:v>104.9</c:v>
                </c:pt>
                <c:pt idx="3">
                  <c:v>104.5</c:v>
                </c:pt>
                <c:pt idx="4">
                  <c:v>101.9</c:v>
                </c:pt>
                <c:pt idx="5">
                  <c:v>102</c:v>
                </c:pt>
                <c:pt idx="6">
                  <c:v>103.1</c:v>
                </c:pt>
                <c:pt idx="7">
                  <c:v>104.5</c:v>
                </c:pt>
                <c:pt idx="8">
                  <c:v>101.9</c:v>
                </c:pt>
                <c:pt idx="9">
                  <c:v>99.7</c:v>
                </c:pt>
                <c:pt idx="10">
                  <c:v>96.9</c:v>
                </c:pt>
                <c:pt idx="11">
                  <c:v>96.9</c:v>
                </c:pt>
                <c:pt idx="12">
                  <c:v>94.2</c:v>
                </c:pt>
                <c:pt idx="13">
                  <c:v>93.1</c:v>
                </c:pt>
                <c:pt idx="14">
                  <c:v>92.2</c:v>
                </c:pt>
                <c:pt idx="15">
                  <c:v>90.1</c:v>
                </c:pt>
              </c:numCache>
            </c:numRef>
          </c:val>
          <c:smooth val="0"/>
        </c:ser>
        <c:dLbls>
          <c:showLegendKey val="0"/>
          <c:showVal val="0"/>
          <c:showCatName val="0"/>
          <c:showSerName val="0"/>
          <c:showPercent val="0"/>
          <c:showBubbleSize val="0"/>
        </c:dLbls>
        <c:marker val="1"/>
        <c:smooth val="0"/>
        <c:axId val="173490944"/>
        <c:axId val="210998016"/>
      </c:lineChart>
      <c:catAx>
        <c:axId val="17349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0998016"/>
        <c:crosses val="autoZero"/>
        <c:auto val="1"/>
        <c:lblAlgn val="ctr"/>
        <c:lblOffset val="100"/>
        <c:noMultiLvlLbl val="0"/>
      </c:catAx>
      <c:valAx>
        <c:axId val="21099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349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a:t>Energy consumption per sector in Croatia 2010</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'[b2e5b2e3 (1).xlsx]Hoja3'!$B$2:$B$6</c:f>
              <c:strCache>
                <c:ptCount val="5"/>
                <c:pt idx="0">
                  <c:v>Energy and transport</c:v>
                </c:pt>
                <c:pt idx="1">
                  <c:v>Industry</c:v>
                </c:pt>
                <c:pt idx="2">
                  <c:v>Hausehold and services</c:v>
                </c:pt>
                <c:pt idx="3">
                  <c:v>Agriculture</c:v>
                </c:pt>
                <c:pt idx="4">
                  <c:v>Other</c:v>
                </c:pt>
              </c:strCache>
            </c:strRef>
          </c:cat>
          <c:val>
            <c:numRef>
              <c:f>'[b2e5b2e3 (1).xlsx]Hoja3'!$C$2:$C$6</c:f>
              <c:numCache>
                <c:formatCode>General</c:formatCode>
                <c:ptCount val="5"/>
                <c:pt idx="0">
                  <c:v>48.9</c:v>
                </c:pt>
                <c:pt idx="1">
                  <c:v>22.9</c:v>
                </c:pt>
                <c:pt idx="2">
                  <c:v>12.5</c:v>
                </c:pt>
                <c:pt idx="3">
                  <c:v>11.4</c:v>
                </c:pt>
                <c:pt idx="4">
                  <c:v>4.3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a:t>Energy consumption per sector</a:t>
            </a:r>
            <a:r>
              <a:rPr lang="hr-HR" baseline="0"/>
              <a:t> in Croatia 2012</a:t>
            </a:r>
            <a:endParaRPr lang="hr-HR"/>
          </a:p>
        </c:rich>
      </c:tx>
      <c:overlay val="0"/>
      <c:spPr>
        <a:noFill/>
        <a:ln>
          <a:noFill/>
        </a:ln>
        <a:effectLst/>
      </c:sp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'[b2e5b2e3 (1).xlsx]Hoja3'!$B$8:$B$12</c:f>
              <c:strCache>
                <c:ptCount val="5"/>
                <c:pt idx="0">
                  <c:v>Energy and transport</c:v>
                </c:pt>
                <c:pt idx="1">
                  <c:v>Industry</c:v>
                </c:pt>
                <c:pt idx="2">
                  <c:v>Hausehold and services</c:v>
                </c:pt>
                <c:pt idx="3">
                  <c:v>Agriculture</c:v>
                </c:pt>
                <c:pt idx="4">
                  <c:v>Other</c:v>
                </c:pt>
              </c:strCache>
            </c:strRef>
          </c:cat>
          <c:val>
            <c:numRef>
              <c:f>'[b2e5b2e3 (1).xlsx]Hoja3'!$C$8:$C$12</c:f>
              <c:numCache>
                <c:formatCode>General</c:formatCode>
                <c:ptCount val="5"/>
                <c:pt idx="0">
                  <c:v>34</c:v>
                </c:pt>
                <c:pt idx="1">
                  <c:v>17</c:v>
                </c:pt>
                <c:pt idx="2">
                  <c:v>43</c:v>
                </c:pt>
                <c:pt idx="3">
                  <c:v>4</c:v>
                </c:pt>
                <c:pt idx="4">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ucenik06</dc:creator>
  <cp:keywords/>
  <dc:description/>
  <cp:lastModifiedBy>Marko Tardelli</cp:lastModifiedBy>
  <cp:revision>11</cp:revision>
  <dcterms:created xsi:type="dcterms:W3CDTF">2018-04-27T11:28:00Z</dcterms:created>
  <dcterms:modified xsi:type="dcterms:W3CDTF">2018-04-30T07:49:00Z</dcterms:modified>
</cp:coreProperties>
</file>