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FEBRUARY 2017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All the made and received posters are </w:t>
      </w:r>
      <w:r>
        <w:rPr>
          <w:sz w:val="24"/>
          <w:szCs w:val="24"/>
          <w:rtl w:val="0"/>
          <w:lang w:val="it-IT"/>
        </w:rPr>
        <w:t>shown along the school main corridor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en-US"/>
        </w:rPr>
        <w:t xml:space="preserve">tudents </w:t>
      </w:r>
      <w:r>
        <w:rPr>
          <w:sz w:val="24"/>
          <w:szCs w:val="24"/>
          <w:rtl w:val="0"/>
          <w:lang w:val="it-IT"/>
        </w:rPr>
        <w:t>get ready</w:t>
      </w:r>
      <w:r>
        <w:rPr>
          <w:sz w:val="24"/>
          <w:szCs w:val="24"/>
          <w:rtl w:val="0"/>
          <w:lang w:val="en-US"/>
        </w:rPr>
        <w:t xml:space="preserve"> for the trip to Zagreb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Students discuss the rules of the game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Students create presentation on Croatia and on Zagreb</w:t>
      </w:r>
      <w:r>
        <w:rPr>
          <w:b w:val="1"/>
          <w:bCs w:val="1"/>
          <w:sz w:val="24"/>
          <w:szCs w:val="24"/>
          <w:u w:val="single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