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33735" w14:textId="3E84689D" w:rsidR="0054217F" w:rsidRPr="0054217F" w:rsidRDefault="0054217F" w:rsidP="00B66018">
      <w:pPr>
        <w:pStyle w:val="Body"/>
        <w:tabs>
          <w:tab w:val="left" w:pos="5936"/>
        </w:tabs>
        <w:jc w:val="center"/>
        <w:rPr>
          <w:rFonts w:ascii="Arial" w:hAnsi="Arial" w:cs="Arial"/>
          <w:b/>
          <w:bCs/>
          <w:shd w:val="clear" w:color="auto" w:fill="FCFCFC"/>
          <w:lang w:val="en-GB"/>
        </w:rPr>
      </w:pPr>
      <w:r w:rsidRPr="0054217F">
        <w:rPr>
          <w:rFonts w:ascii="Arial" w:hAnsi="Arial" w:cs="Arial"/>
          <w:b/>
          <w:bCs/>
          <w:shd w:val="clear" w:color="auto" w:fill="FCFCFC"/>
          <w:lang w:val="en-US"/>
        </w:rPr>
        <w:t>Long-term unemployment rate</w:t>
      </w:r>
      <w:r w:rsidR="003873BC">
        <w:rPr>
          <w:rFonts w:ascii="Arial" w:hAnsi="Arial" w:cs="Arial"/>
          <w:b/>
          <w:bCs/>
          <w:shd w:val="clear" w:color="auto" w:fill="FCFCFC"/>
          <w:lang w:val="en-US"/>
        </w:rPr>
        <w:t xml:space="preserve"> of active population</w:t>
      </w:r>
      <w:r w:rsidRPr="0054217F">
        <w:rPr>
          <w:rFonts w:ascii="Arial" w:hAnsi="Arial" w:cs="Arial"/>
          <w:b/>
          <w:bCs/>
          <w:shd w:val="clear" w:color="auto" w:fill="FCFCFC"/>
          <w:lang w:val="en-US"/>
        </w:rPr>
        <w:t xml:space="preserve"> in Croatia</w:t>
      </w:r>
    </w:p>
    <w:p w14:paraId="6129D59A" w14:textId="77777777" w:rsidR="000B36E9" w:rsidRDefault="0054217F">
      <w:pPr>
        <w:pStyle w:val="Body"/>
      </w:pPr>
      <w:bookmarkStart w:id="0" w:name="_GoBack"/>
      <w:bookmarkEnd w:id="0"/>
      <w:r>
        <w:rPr>
          <w:noProof/>
        </w:rPr>
        <w:drawing>
          <wp:anchor distT="0" distB="0" distL="114300" distR="114300" simplePos="0" relativeHeight="251661312" behindDoc="0" locked="0" layoutInCell="1" allowOverlap="1" wp14:anchorId="76CC1180" wp14:editId="469AEA83">
            <wp:simplePos x="0" y="0"/>
            <wp:positionH relativeFrom="column">
              <wp:posOffset>637540</wp:posOffset>
            </wp:positionH>
            <wp:positionV relativeFrom="paragraph">
              <wp:posOffset>313690</wp:posOffset>
            </wp:positionV>
            <wp:extent cx="4572000" cy="2743200"/>
            <wp:effectExtent l="0" t="0" r="0" b="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14:paraId="1CF45D9F" w14:textId="77777777" w:rsidR="0099689E" w:rsidRDefault="0099689E" w:rsidP="0099689E">
      <w:pPr>
        <w:rPr>
          <w:rFonts w:ascii="Calibri" w:hAnsi="Calibri"/>
        </w:rPr>
      </w:pPr>
    </w:p>
    <w:p w14:paraId="65B86D15" w14:textId="77777777" w:rsidR="0099689E" w:rsidRPr="0099689E" w:rsidRDefault="0099689E">
      <w:pPr>
        <w:pStyle w:val="Body"/>
        <w:rPr>
          <w:sz w:val="24"/>
          <w:szCs w:val="24"/>
          <w:lang w:val="en-US"/>
        </w:rPr>
      </w:pPr>
    </w:p>
    <w:p w14:paraId="6F3DB40A" w14:textId="77777777" w:rsidR="0054217F" w:rsidRDefault="0054217F" w:rsidP="003A2B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54217F">
        <w:rPr>
          <w:rFonts w:eastAsia="Times New Roman"/>
          <w:bdr w:val="none" w:sz="0" w:space="0" w:color="auto"/>
          <w:lang w:val="en-GB" w:eastAsia="en-GB"/>
        </w:rPr>
        <w:t xml:space="preserve">The long-term unemployment rate is the number of persons unemployed for 12 months or longer as a percentage of </w:t>
      </w:r>
      <w:r w:rsidR="003A2BB0">
        <w:rPr>
          <w:rFonts w:eastAsia="Times New Roman"/>
          <w:bdr w:val="none" w:sz="0" w:space="0" w:color="auto"/>
          <w:lang w:val="en-GB" w:eastAsia="en-GB"/>
        </w:rPr>
        <w:t>economically active population</w:t>
      </w:r>
      <w:r w:rsidRPr="0054217F">
        <w:rPr>
          <w:rFonts w:eastAsia="Times New Roman"/>
          <w:bdr w:val="none" w:sz="0" w:space="0" w:color="auto"/>
          <w:lang w:val="en-GB" w:eastAsia="en-GB"/>
        </w:rPr>
        <w:t xml:space="preserve">. The unemployment rate is the number of unemployed persons as a percentage of the total number of people employed and unemployed. Unemployed persons comprise persons aged 15 to 74 who fulfil all the three following conditions: are without work during the reference week; are available to start work within the next two weeks and have been actively seeking work in the past four weeks or have already found a job to start within the next three months. </w:t>
      </w:r>
      <w:r w:rsidR="003A2BB0">
        <w:rPr>
          <w:rFonts w:eastAsia="Times New Roman"/>
          <w:bdr w:val="none" w:sz="0" w:space="0" w:color="auto"/>
          <w:lang w:val="en-GB" w:eastAsia="en-GB"/>
        </w:rPr>
        <w:t xml:space="preserve"> (Definition given on Eurostat)</w:t>
      </w:r>
    </w:p>
    <w:p w14:paraId="2D30D5AD" w14:textId="77777777" w:rsidR="003A2BB0" w:rsidRPr="003A2BB0" w:rsidRDefault="003A2BB0" w:rsidP="003A2B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14:paraId="45821302" w14:textId="57B8874D" w:rsidR="00C07380" w:rsidRPr="0099689E" w:rsidRDefault="000B36E9">
      <w:pPr>
        <w:pStyle w:val="Body"/>
        <w:rPr>
          <w:sz w:val="24"/>
          <w:szCs w:val="24"/>
        </w:rPr>
      </w:pPr>
      <w:r w:rsidRPr="0099689E">
        <w:rPr>
          <w:sz w:val="24"/>
          <w:szCs w:val="24"/>
          <w:lang w:val="en-US"/>
        </w:rPr>
        <w:t>O</w:t>
      </w:r>
      <w:r w:rsidR="00957B57" w:rsidRPr="0099689E">
        <w:rPr>
          <w:sz w:val="24"/>
          <w:szCs w:val="24"/>
          <w:lang w:val="en-US"/>
        </w:rPr>
        <w:t>ne could come to the conclusion that Croatia has a really bad unempl</w:t>
      </w:r>
      <w:r w:rsidR="00124291">
        <w:rPr>
          <w:sz w:val="24"/>
          <w:szCs w:val="24"/>
          <w:lang w:val="en-US"/>
        </w:rPr>
        <w:t>oyment problem and could use fu</w:t>
      </w:r>
      <w:r w:rsidR="00957B57" w:rsidRPr="0099689E">
        <w:rPr>
          <w:sz w:val="24"/>
          <w:szCs w:val="24"/>
          <w:lang w:val="en-US"/>
        </w:rPr>
        <w:t>lfilling the Europe2020 objective in the field, which is for the unemployment of people aged 20-60 to be lower than 25% by 2020. However, Croatia already has the aspired unemployment rate goal. But still, it is almost common knowledge that we have a big unemployment problem. The reason the statistics are so perfect is because they do not portray ever</w:t>
      </w:r>
      <w:r w:rsidR="0054217F">
        <w:rPr>
          <w:sz w:val="24"/>
          <w:szCs w:val="24"/>
          <w:lang w:val="en-US"/>
        </w:rPr>
        <w:t>yday life in Croatia accurately, and have to be viewed alongside the emigration statistic.</w:t>
      </w:r>
      <w:r w:rsidR="00957B57" w:rsidRPr="0099689E">
        <w:rPr>
          <w:sz w:val="24"/>
          <w:szCs w:val="24"/>
          <w:lang w:val="en-US"/>
        </w:rPr>
        <w:t xml:space="preserve">  </w:t>
      </w:r>
    </w:p>
    <w:p w14:paraId="2A20004E" w14:textId="77777777" w:rsidR="00C07380" w:rsidRPr="0054217F" w:rsidRDefault="0054217F" w:rsidP="005421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54217F">
        <w:rPr>
          <w:rFonts w:eastAsia="Times New Roman"/>
          <w:bdr w:val="none" w:sz="0" w:space="0" w:color="auto"/>
          <w:lang w:val="en-GB" w:eastAsia="en-GB"/>
        </w:rPr>
        <w:t xml:space="preserve">The data source is the quarterly EU Labour Force Survey (EU LFS). The survey covers the resident population in private households. </w:t>
      </w:r>
    </w:p>
    <w:p w14:paraId="28B87C3D" w14:textId="77777777" w:rsidR="00C07380" w:rsidRDefault="00C07380">
      <w:pPr>
        <w:pStyle w:val="Body"/>
      </w:pPr>
    </w:p>
    <w:p w14:paraId="48830A13" w14:textId="77777777" w:rsidR="0054217F" w:rsidRDefault="0054217F">
      <w:pPr>
        <w:pStyle w:val="Body"/>
      </w:pPr>
    </w:p>
    <w:p w14:paraId="6626538A" w14:textId="77777777" w:rsidR="0054217F" w:rsidRDefault="0054217F">
      <w:pPr>
        <w:pStyle w:val="Body"/>
      </w:pPr>
    </w:p>
    <w:p w14:paraId="675FD0C3" w14:textId="77777777" w:rsidR="0054217F" w:rsidRDefault="0054217F">
      <w:pPr>
        <w:pStyle w:val="Body"/>
      </w:pPr>
    </w:p>
    <w:p w14:paraId="61D8BDCD" w14:textId="77777777" w:rsidR="0054217F" w:rsidRDefault="0054217F">
      <w:pPr>
        <w:pStyle w:val="Body"/>
      </w:pPr>
    </w:p>
    <w:p w14:paraId="271D9AA6" w14:textId="77777777" w:rsidR="00124291" w:rsidRDefault="00124291">
      <w:pPr>
        <w:pStyle w:val="Body"/>
      </w:pPr>
    </w:p>
    <w:p w14:paraId="52F65011" w14:textId="77777777" w:rsidR="0054217F" w:rsidRDefault="00B66018" w:rsidP="004A2EDD">
      <w:pPr>
        <w:pStyle w:val="Heading2"/>
        <w:jc w:val="center"/>
        <w:rPr>
          <w:rFonts w:ascii="Calibri" w:eastAsia="Times New Roman" w:hAnsi="Calibri"/>
          <w:sz w:val="24"/>
          <w:szCs w:val="24"/>
        </w:rPr>
      </w:pPr>
      <w:r>
        <w:rPr>
          <w:rFonts w:ascii="Calibri" w:eastAsia="Times New Roman" w:hAnsi="Calibri"/>
          <w:sz w:val="24"/>
          <w:szCs w:val="24"/>
        </w:rPr>
        <w:lastRenderedPageBreak/>
        <w:t xml:space="preserve"> Youth u</w:t>
      </w:r>
      <w:r w:rsidR="0054217F" w:rsidRPr="0054217F">
        <w:rPr>
          <w:rFonts w:ascii="Calibri" w:eastAsia="Times New Roman" w:hAnsi="Calibri"/>
          <w:sz w:val="24"/>
          <w:szCs w:val="24"/>
        </w:rPr>
        <w:t>nemployment rate by sex</w:t>
      </w:r>
      <w:r w:rsidR="004A2EDD">
        <w:rPr>
          <w:rFonts w:ascii="Calibri" w:eastAsia="Times New Roman" w:hAnsi="Calibri"/>
          <w:sz w:val="24"/>
          <w:szCs w:val="24"/>
        </w:rPr>
        <w:t xml:space="preserve"> in Croatia</w:t>
      </w:r>
    </w:p>
    <w:tbl>
      <w:tblPr>
        <w:tblStyle w:val="TableGrid"/>
        <w:tblW w:w="9208" w:type="dxa"/>
        <w:tblLook w:val="04A0" w:firstRow="1" w:lastRow="0" w:firstColumn="1" w:lastColumn="0" w:noHBand="0" w:noVBand="1"/>
      </w:tblPr>
      <w:tblGrid>
        <w:gridCol w:w="2235"/>
        <w:gridCol w:w="2369"/>
        <w:gridCol w:w="2302"/>
        <w:gridCol w:w="2302"/>
      </w:tblGrid>
      <w:tr w:rsidR="00B66018" w14:paraId="75E60326" w14:textId="77777777" w:rsidTr="000A6C2D">
        <w:trPr>
          <w:trHeight w:val="403"/>
        </w:trPr>
        <w:tc>
          <w:tcPr>
            <w:tcW w:w="2235" w:type="dxa"/>
            <w:vAlign w:val="bottom"/>
          </w:tcPr>
          <w:p w14:paraId="4E6A79E9" w14:textId="687D39C1" w:rsidR="00B66018" w:rsidRDefault="00124291" w:rsidP="00B66018">
            <w:pPr>
              <w:jc w:val="center"/>
              <w:rPr>
                <w:rFonts w:ascii="Calibri" w:eastAsia="Times New Roman" w:hAnsi="Calibri"/>
                <w:color w:val="000000"/>
                <w:bdr w:val="none" w:sz="0" w:space="0" w:color="auto"/>
                <w:lang w:val="en-GB" w:eastAsia="en-GB"/>
              </w:rPr>
            </w:pPr>
            <w:r>
              <w:rPr>
                <w:rFonts w:ascii="Calibri" w:eastAsia="Times New Roman" w:hAnsi="Calibri"/>
                <w:color w:val="000000"/>
              </w:rPr>
              <w:t>Y</w:t>
            </w:r>
            <w:r w:rsidR="00B66018">
              <w:rPr>
                <w:rFonts w:ascii="Calibri" w:eastAsia="Times New Roman" w:hAnsi="Calibri"/>
                <w:color w:val="000000"/>
              </w:rPr>
              <w:t>ear</w:t>
            </w:r>
          </w:p>
        </w:tc>
        <w:tc>
          <w:tcPr>
            <w:tcW w:w="2369" w:type="dxa"/>
            <w:vAlign w:val="bottom"/>
          </w:tcPr>
          <w:p w14:paraId="65D3C266" w14:textId="77777777" w:rsidR="00B66018" w:rsidRDefault="00B66018" w:rsidP="00B66018">
            <w:pPr>
              <w:jc w:val="center"/>
              <w:rPr>
                <w:rFonts w:ascii="Calibri" w:eastAsia="Times New Roman" w:hAnsi="Calibri"/>
                <w:color w:val="000000"/>
              </w:rPr>
            </w:pPr>
            <w:r>
              <w:rPr>
                <w:rFonts w:ascii="Calibri" w:eastAsia="Times New Roman" w:hAnsi="Calibri"/>
                <w:color w:val="000000"/>
              </w:rPr>
              <w:t>Total %</w:t>
            </w:r>
          </w:p>
        </w:tc>
        <w:tc>
          <w:tcPr>
            <w:tcW w:w="2302" w:type="dxa"/>
            <w:vAlign w:val="bottom"/>
          </w:tcPr>
          <w:p w14:paraId="07D5AC55" w14:textId="77777777" w:rsidR="00B66018" w:rsidRDefault="00B66018" w:rsidP="00B66018">
            <w:pPr>
              <w:jc w:val="center"/>
              <w:rPr>
                <w:rFonts w:ascii="Calibri" w:eastAsia="Times New Roman" w:hAnsi="Calibri"/>
                <w:color w:val="000000"/>
              </w:rPr>
            </w:pPr>
            <w:r>
              <w:rPr>
                <w:rFonts w:ascii="Calibri" w:eastAsia="Times New Roman" w:hAnsi="Calibri"/>
                <w:color w:val="000000"/>
              </w:rPr>
              <w:t>Females %</w:t>
            </w:r>
          </w:p>
        </w:tc>
        <w:tc>
          <w:tcPr>
            <w:tcW w:w="2302" w:type="dxa"/>
            <w:vAlign w:val="bottom"/>
          </w:tcPr>
          <w:p w14:paraId="2B40F439" w14:textId="77777777" w:rsidR="00B66018" w:rsidRDefault="00B66018" w:rsidP="00B66018">
            <w:pPr>
              <w:jc w:val="center"/>
              <w:rPr>
                <w:rFonts w:ascii="Calibri" w:eastAsia="Times New Roman" w:hAnsi="Calibri"/>
                <w:color w:val="000000"/>
              </w:rPr>
            </w:pPr>
            <w:r>
              <w:rPr>
                <w:rFonts w:ascii="Calibri" w:eastAsia="Times New Roman" w:hAnsi="Calibri"/>
                <w:color w:val="000000"/>
              </w:rPr>
              <w:t>Males %</w:t>
            </w:r>
          </w:p>
        </w:tc>
      </w:tr>
      <w:tr w:rsidR="00B66018" w14:paraId="76967DC1" w14:textId="77777777" w:rsidTr="000A6C2D">
        <w:trPr>
          <w:trHeight w:val="403"/>
        </w:trPr>
        <w:tc>
          <w:tcPr>
            <w:tcW w:w="2235" w:type="dxa"/>
            <w:vAlign w:val="bottom"/>
          </w:tcPr>
          <w:p w14:paraId="1413BDD8" w14:textId="77777777" w:rsidR="00B66018" w:rsidRDefault="00B66018">
            <w:pPr>
              <w:jc w:val="right"/>
              <w:rPr>
                <w:rFonts w:ascii="Calibri" w:eastAsia="Times New Roman" w:hAnsi="Calibri"/>
                <w:color w:val="000000"/>
              </w:rPr>
            </w:pPr>
            <w:r>
              <w:rPr>
                <w:rFonts w:ascii="Calibri" w:eastAsia="Times New Roman" w:hAnsi="Calibri"/>
                <w:color w:val="000000"/>
              </w:rPr>
              <w:t>2007</w:t>
            </w:r>
          </w:p>
        </w:tc>
        <w:tc>
          <w:tcPr>
            <w:tcW w:w="2369" w:type="dxa"/>
            <w:vAlign w:val="bottom"/>
          </w:tcPr>
          <w:p w14:paraId="5466D6D1" w14:textId="77777777" w:rsidR="00B66018" w:rsidRDefault="00B66018">
            <w:pPr>
              <w:jc w:val="right"/>
              <w:rPr>
                <w:rFonts w:ascii="Calibri" w:eastAsia="Times New Roman" w:hAnsi="Calibri"/>
                <w:color w:val="000000"/>
              </w:rPr>
            </w:pPr>
            <w:r>
              <w:rPr>
                <w:rFonts w:ascii="Calibri" w:eastAsia="Times New Roman" w:hAnsi="Calibri"/>
                <w:color w:val="000000"/>
              </w:rPr>
              <w:t>25,4</w:t>
            </w:r>
          </w:p>
        </w:tc>
        <w:tc>
          <w:tcPr>
            <w:tcW w:w="2302" w:type="dxa"/>
            <w:vAlign w:val="bottom"/>
          </w:tcPr>
          <w:p w14:paraId="084BF77B" w14:textId="77777777" w:rsidR="00B66018" w:rsidRDefault="00B66018">
            <w:pPr>
              <w:jc w:val="right"/>
              <w:rPr>
                <w:rFonts w:ascii="Calibri" w:eastAsia="Times New Roman" w:hAnsi="Calibri"/>
                <w:color w:val="000000"/>
              </w:rPr>
            </w:pPr>
            <w:r>
              <w:rPr>
                <w:rFonts w:ascii="Calibri" w:eastAsia="Times New Roman" w:hAnsi="Calibri"/>
                <w:color w:val="000000"/>
              </w:rPr>
              <w:t>29,2</w:t>
            </w:r>
          </w:p>
        </w:tc>
        <w:tc>
          <w:tcPr>
            <w:tcW w:w="2302" w:type="dxa"/>
            <w:vAlign w:val="bottom"/>
          </w:tcPr>
          <w:p w14:paraId="6561DE35" w14:textId="77777777" w:rsidR="00B66018" w:rsidRDefault="00B66018">
            <w:pPr>
              <w:jc w:val="right"/>
              <w:rPr>
                <w:rFonts w:ascii="Calibri" w:eastAsia="Times New Roman" w:hAnsi="Calibri"/>
                <w:color w:val="000000"/>
              </w:rPr>
            </w:pPr>
            <w:r>
              <w:rPr>
                <w:rFonts w:ascii="Calibri" w:eastAsia="Times New Roman" w:hAnsi="Calibri"/>
                <w:color w:val="000000"/>
              </w:rPr>
              <w:t>22,6</w:t>
            </w:r>
          </w:p>
        </w:tc>
      </w:tr>
      <w:tr w:rsidR="00B66018" w14:paraId="66CEC39D" w14:textId="77777777" w:rsidTr="000A6C2D">
        <w:trPr>
          <w:trHeight w:val="403"/>
        </w:trPr>
        <w:tc>
          <w:tcPr>
            <w:tcW w:w="2235" w:type="dxa"/>
            <w:vAlign w:val="bottom"/>
          </w:tcPr>
          <w:p w14:paraId="0663418A" w14:textId="77777777" w:rsidR="00B66018" w:rsidRDefault="00B66018">
            <w:pPr>
              <w:jc w:val="right"/>
              <w:rPr>
                <w:rFonts w:ascii="Calibri" w:eastAsia="Times New Roman" w:hAnsi="Calibri"/>
                <w:color w:val="000000"/>
              </w:rPr>
            </w:pPr>
            <w:r>
              <w:rPr>
                <w:rFonts w:ascii="Calibri" w:eastAsia="Times New Roman" w:hAnsi="Calibri"/>
                <w:color w:val="000000"/>
              </w:rPr>
              <w:t>2008</w:t>
            </w:r>
          </w:p>
        </w:tc>
        <w:tc>
          <w:tcPr>
            <w:tcW w:w="2369" w:type="dxa"/>
            <w:vAlign w:val="bottom"/>
          </w:tcPr>
          <w:p w14:paraId="28D5F851" w14:textId="77777777" w:rsidR="00B66018" w:rsidRDefault="00B66018">
            <w:pPr>
              <w:jc w:val="right"/>
              <w:rPr>
                <w:rFonts w:ascii="Calibri" w:eastAsia="Times New Roman" w:hAnsi="Calibri"/>
                <w:color w:val="000000"/>
              </w:rPr>
            </w:pPr>
            <w:r>
              <w:rPr>
                <w:rFonts w:ascii="Calibri" w:eastAsia="Times New Roman" w:hAnsi="Calibri"/>
                <w:color w:val="000000"/>
              </w:rPr>
              <w:t>23,6</w:t>
            </w:r>
          </w:p>
        </w:tc>
        <w:tc>
          <w:tcPr>
            <w:tcW w:w="2302" w:type="dxa"/>
            <w:vAlign w:val="bottom"/>
          </w:tcPr>
          <w:p w14:paraId="33A40335" w14:textId="77777777" w:rsidR="00B66018" w:rsidRDefault="00B66018">
            <w:pPr>
              <w:jc w:val="right"/>
              <w:rPr>
                <w:rFonts w:ascii="Calibri" w:eastAsia="Times New Roman" w:hAnsi="Calibri"/>
                <w:color w:val="000000"/>
              </w:rPr>
            </w:pPr>
            <w:r>
              <w:rPr>
                <w:rFonts w:ascii="Calibri" w:eastAsia="Times New Roman" w:hAnsi="Calibri"/>
                <w:color w:val="000000"/>
              </w:rPr>
              <w:t>28</w:t>
            </w:r>
          </w:p>
        </w:tc>
        <w:tc>
          <w:tcPr>
            <w:tcW w:w="2302" w:type="dxa"/>
            <w:vAlign w:val="bottom"/>
          </w:tcPr>
          <w:p w14:paraId="361BE28B" w14:textId="77777777" w:rsidR="00B66018" w:rsidRDefault="00B66018">
            <w:pPr>
              <w:jc w:val="right"/>
              <w:rPr>
                <w:rFonts w:ascii="Calibri" w:eastAsia="Times New Roman" w:hAnsi="Calibri"/>
                <w:color w:val="000000"/>
              </w:rPr>
            </w:pPr>
            <w:r>
              <w:rPr>
                <w:rFonts w:ascii="Calibri" w:eastAsia="Times New Roman" w:hAnsi="Calibri"/>
                <w:color w:val="000000"/>
              </w:rPr>
              <w:t>20,7</w:t>
            </w:r>
          </w:p>
        </w:tc>
      </w:tr>
      <w:tr w:rsidR="00B66018" w14:paraId="15341D85" w14:textId="77777777" w:rsidTr="000A6C2D">
        <w:trPr>
          <w:trHeight w:val="403"/>
        </w:trPr>
        <w:tc>
          <w:tcPr>
            <w:tcW w:w="2235" w:type="dxa"/>
            <w:vAlign w:val="bottom"/>
          </w:tcPr>
          <w:p w14:paraId="25334510" w14:textId="77777777" w:rsidR="00B66018" w:rsidRDefault="00B66018">
            <w:pPr>
              <w:jc w:val="right"/>
              <w:rPr>
                <w:rFonts w:ascii="Calibri" w:eastAsia="Times New Roman" w:hAnsi="Calibri"/>
                <w:color w:val="000000"/>
              </w:rPr>
            </w:pPr>
            <w:r>
              <w:rPr>
                <w:rFonts w:ascii="Calibri" w:eastAsia="Times New Roman" w:hAnsi="Calibri"/>
                <w:color w:val="000000"/>
              </w:rPr>
              <w:t>2009</w:t>
            </w:r>
          </w:p>
        </w:tc>
        <w:tc>
          <w:tcPr>
            <w:tcW w:w="2369" w:type="dxa"/>
            <w:vAlign w:val="bottom"/>
          </w:tcPr>
          <w:p w14:paraId="3AED4749" w14:textId="77777777" w:rsidR="00B66018" w:rsidRDefault="00B66018">
            <w:pPr>
              <w:jc w:val="right"/>
              <w:rPr>
                <w:rFonts w:ascii="Calibri" w:eastAsia="Times New Roman" w:hAnsi="Calibri"/>
                <w:color w:val="000000"/>
              </w:rPr>
            </w:pPr>
            <w:r>
              <w:rPr>
                <w:rFonts w:ascii="Calibri" w:eastAsia="Times New Roman" w:hAnsi="Calibri"/>
                <w:color w:val="000000"/>
              </w:rPr>
              <w:t>25,4</w:t>
            </w:r>
          </w:p>
        </w:tc>
        <w:tc>
          <w:tcPr>
            <w:tcW w:w="2302" w:type="dxa"/>
            <w:vAlign w:val="bottom"/>
          </w:tcPr>
          <w:p w14:paraId="3BD49882" w14:textId="77777777" w:rsidR="00B66018" w:rsidRDefault="00B66018">
            <w:pPr>
              <w:jc w:val="right"/>
              <w:rPr>
                <w:rFonts w:ascii="Calibri" w:eastAsia="Times New Roman" w:hAnsi="Calibri"/>
                <w:color w:val="000000"/>
              </w:rPr>
            </w:pPr>
            <w:r>
              <w:rPr>
                <w:rFonts w:ascii="Calibri" w:eastAsia="Times New Roman" w:hAnsi="Calibri"/>
                <w:color w:val="000000"/>
              </w:rPr>
              <w:t>27,8</w:t>
            </w:r>
          </w:p>
        </w:tc>
        <w:tc>
          <w:tcPr>
            <w:tcW w:w="2302" w:type="dxa"/>
            <w:vAlign w:val="bottom"/>
          </w:tcPr>
          <w:p w14:paraId="65EB76A9" w14:textId="77777777" w:rsidR="00B66018" w:rsidRDefault="00B66018">
            <w:pPr>
              <w:jc w:val="right"/>
              <w:rPr>
                <w:rFonts w:ascii="Calibri" w:eastAsia="Times New Roman" w:hAnsi="Calibri"/>
                <w:color w:val="000000"/>
              </w:rPr>
            </w:pPr>
            <w:r>
              <w:rPr>
                <w:rFonts w:ascii="Calibri" w:eastAsia="Times New Roman" w:hAnsi="Calibri"/>
                <w:color w:val="000000"/>
              </w:rPr>
              <w:t>23,8</w:t>
            </w:r>
          </w:p>
        </w:tc>
      </w:tr>
      <w:tr w:rsidR="00B66018" w14:paraId="170A30BA" w14:textId="77777777" w:rsidTr="000A6C2D">
        <w:trPr>
          <w:trHeight w:val="403"/>
        </w:trPr>
        <w:tc>
          <w:tcPr>
            <w:tcW w:w="2235" w:type="dxa"/>
            <w:vAlign w:val="bottom"/>
          </w:tcPr>
          <w:p w14:paraId="0B5D2EEB" w14:textId="77777777" w:rsidR="00B66018" w:rsidRDefault="00B66018">
            <w:pPr>
              <w:jc w:val="right"/>
              <w:rPr>
                <w:rFonts w:ascii="Calibri" w:eastAsia="Times New Roman" w:hAnsi="Calibri"/>
                <w:color w:val="000000"/>
              </w:rPr>
            </w:pPr>
            <w:r>
              <w:rPr>
                <w:rFonts w:ascii="Calibri" w:eastAsia="Times New Roman" w:hAnsi="Calibri"/>
                <w:color w:val="000000"/>
              </w:rPr>
              <w:t>2010</w:t>
            </w:r>
          </w:p>
        </w:tc>
        <w:tc>
          <w:tcPr>
            <w:tcW w:w="2369" w:type="dxa"/>
            <w:vAlign w:val="bottom"/>
          </w:tcPr>
          <w:p w14:paraId="10DD984F" w14:textId="77777777" w:rsidR="00B66018" w:rsidRDefault="00B66018">
            <w:pPr>
              <w:jc w:val="right"/>
              <w:rPr>
                <w:rFonts w:ascii="Calibri" w:eastAsia="Times New Roman" w:hAnsi="Calibri"/>
                <w:color w:val="000000"/>
              </w:rPr>
            </w:pPr>
            <w:r>
              <w:rPr>
                <w:rFonts w:ascii="Calibri" w:eastAsia="Times New Roman" w:hAnsi="Calibri"/>
                <w:color w:val="000000"/>
              </w:rPr>
              <w:t>32,3</w:t>
            </w:r>
          </w:p>
        </w:tc>
        <w:tc>
          <w:tcPr>
            <w:tcW w:w="2302" w:type="dxa"/>
            <w:vAlign w:val="bottom"/>
          </w:tcPr>
          <w:p w14:paraId="2028C540" w14:textId="77777777" w:rsidR="00B66018" w:rsidRDefault="00B66018">
            <w:pPr>
              <w:jc w:val="right"/>
              <w:rPr>
                <w:rFonts w:ascii="Calibri" w:eastAsia="Times New Roman" w:hAnsi="Calibri"/>
                <w:color w:val="000000"/>
              </w:rPr>
            </w:pPr>
            <w:r>
              <w:rPr>
                <w:rFonts w:ascii="Calibri" w:eastAsia="Times New Roman" w:hAnsi="Calibri"/>
                <w:color w:val="000000"/>
              </w:rPr>
              <w:t>33,1</w:t>
            </w:r>
          </w:p>
        </w:tc>
        <w:tc>
          <w:tcPr>
            <w:tcW w:w="2302" w:type="dxa"/>
            <w:vAlign w:val="bottom"/>
          </w:tcPr>
          <w:p w14:paraId="5723E4B7" w14:textId="77777777" w:rsidR="00B66018" w:rsidRDefault="00B66018">
            <w:pPr>
              <w:jc w:val="right"/>
              <w:rPr>
                <w:rFonts w:ascii="Calibri" w:eastAsia="Times New Roman" w:hAnsi="Calibri"/>
                <w:color w:val="000000"/>
              </w:rPr>
            </w:pPr>
            <w:r>
              <w:rPr>
                <w:rFonts w:ascii="Calibri" w:eastAsia="Times New Roman" w:hAnsi="Calibri"/>
                <w:color w:val="000000"/>
              </w:rPr>
              <w:t>31,8</w:t>
            </w:r>
          </w:p>
        </w:tc>
      </w:tr>
      <w:tr w:rsidR="00B66018" w14:paraId="62398FD0" w14:textId="77777777" w:rsidTr="000A6C2D">
        <w:trPr>
          <w:trHeight w:val="403"/>
        </w:trPr>
        <w:tc>
          <w:tcPr>
            <w:tcW w:w="2235" w:type="dxa"/>
            <w:vAlign w:val="bottom"/>
          </w:tcPr>
          <w:p w14:paraId="7CFC06CA" w14:textId="77777777" w:rsidR="00B66018" w:rsidRDefault="00B66018">
            <w:pPr>
              <w:jc w:val="right"/>
              <w:rPr>
                <w:rFonts w:ascii="Calibri" w:eastAsia="Times New Roman" w:hAnsi="Calibri"/>
                <w:color w:val="000000"/>
              </w:rPr>
            </w:pPr>
            <w:r>
              <w:rPr>
                <w:rFonts w:ascii="Calibri" w:eastAsia="Times New Roman" w:hAnsi="Calibri"/>
                <w:color w:val="000000"/>
              </w:rPr>
              <w:t>2011</w:t>
            </w:r>
          </w:p>
        </w:tc>
        <w:tc>
          <w:tcPr>
            <w:tcW w:w="2369" w:type="dxa"/>
            <w:vAlign w:val="bottom"/>
          </w:tcPr>
          <w:p w14:paraId="6B9D6E90" w14:textId="77777777" w:rsidR="00B66018" w:rsidRDefault="00B66018">
            <w:pPr>
              <w:jc w:val="right"/>
              <w:rPr>
                <w:rFonts w:ascii="Calibri" w:eastAsia="Times New Roman" w:hAnsi="Calibri"/>
                <w:color w:val="000000"/>
              </w:rPr>
            </w:pPr>
            <w:r>
              <w:rPr>
                <w:rFonts w:ascii="Calibri" w:eastAsia="Times New Roman" w:hAnsi="Calibri"/>
                <w:color w:val="000000"/>
              </w:rPr>
              <w:t>36,6</w:t>
            </w:r>
          </w:p>
        </w:tc>
        <w:tc>
          <w:tcPr>
            <w:tcW w:w="2302" w:type="dxa"/>
            <w:vAlign w:val="bottom"/>
          </w:tcPr>
          <w:p w14:paraId="11A77BD5" w14:textId="77777777" w:rsidR="00B66018" w:rsidRDefault="00B66018">
            <w:pPr>
              <w:jc w:val="right"/>
              <w:rPr>
                <w:rFonts w:ascii="Calibri" w:eastAsia="Times New Roman" w:hAnsi="Calibri"/>
                <w:color w:val="000000"/>
              </w:rPr>
            </w:pPr>
            <w:r>
              <w:rPr>
                <w:rFonts w:ascii="Calibri" w:eastAsia="Times New Roman" w:hAnsi="Calibri"/>
                <w:color w:val="000000"/>
              </w:rPr>
              <w:t>36,3</w:t>
            </w:r>
          </w:p>
        </w:tc>
        <w:tc>
          <w:tcPr>
            <w:tcW w:w="2302" w:type="dxa"/>
            <w:vAlign w:val="bottom"/>
          </w:tcPr>
          <w:p w14:paraId="6146550C" w14:textId="77777777" w:rsidR="00B66018" w:rsidRDefault="00B66018">
            <w:pPr>
              <w:jc w:val="right"/>
              <w:rPr>
                <w:rFonts w:ascii="Calibri" w:eastAsia="Times New Roman" w:hAnsi="Calibri"/>
                <w:color w:val="000000"/>
              </w:rPr>
            </w:pPr>
            <w:r>
              <w:rPr>
                <w:rFonts w:ascii="Calibri" w:eastAsia="Times New Roman" w:hAnsi="Calibri"/>
                <w:color w:val="000000"/>
              </w:rPr>
              <w:t>36,7</w:t>
            </w:r>
          </w:p>
        </w:tc>
      </w:tr>
      <w:tr w:rsidR="00B66018" w14:paraId="6981A176" w14:textId="77777777" w:rsidTr="000A6C2D">
        <w:trPr>
          <w:trHeight w:val="403"/>
        </w:trPr>
        <w:tc>
          <w:tcPr>
            <w:tcW w:w="2235" w:type="dxa"/>
            <w:vAlign w:val="bottom"/>
          </w:tcPr>
          <w:p w14:paraId="554F1253" w14:textId="77777777" w:rsidR="00B66018" w:rsidRDefault="00B66018">
            <w:pPr>
              <w:jc w:val="right"/>
              <w:rPr>
                <w:rFonts w:ascii="Calibri" w:eastAsia="Times New Roman" w:hAnsi="Calibri"/>
                <w:color w:val="000000"/>
              </w:rPr>
            </w:pPr>
            <w:r>
              <w:rPr>
                <w:rFonts w:ascii="Calibri" w:eastAsia="Times New Roman" w:hAnsi="Calibri"/>
                <w:color w:val="000000"/>
              </w:rPr>
              <w:t>2012</w:t>
            </w:r>
          </w:p>
        </w:tc>
        <w:tc>
          <w:tcPr>
            <w:tcW w:w="2369" w:type="dxa"/>
            <w:vAlign w:val="bottom"/>
          </w:tcPr>
          <w:p w14:paraId="557EEC58" w14:textId="77777777" w:rsidR="00B66018" w:rsidRDefault="00B66018">
            <w:pPr>
              <w:jc w:val="right"/>
              <w:rPr>
                <w:rFonts w:ascii="Calibri" w:eastAsia="Times New Roman" w:hAnsi="Calibri"/>
                <w:color w:val="000000"/>
              </w:rPr>
            </w:pPr>
            <w:r>
              <w:rPr>
                <w:rFonts w:ascii="Calibri" w:eastAsia="Times New Roman" w:hAnsi="Calibri"/>
                <w:color w:val="000000"/>
              </w:rPr>
              <w:t>42,2</w:t>
            </w:r>
          </w:p>
        </w:tc>
        <w:tc>
          <w:tcPr>
            <w:tcW w:w="2302" w:type="dxa"/>
            <w:vAlign w:val="bottom"/>
          </w:tcPr>
          <w:p w14:paraId="013DBEEB" w14:textId="77777777" w:rsidR="00B66018" w:rsidRDefault="00B66018">
            <w:pPr>
              <w:jc w:val="right"/>
              <w:rPr>
                <w:rFonts w:ascii="Calibri" w:eastAsia="Times New Roman" w:hAnsi="Calibri"/>
                <w:color w:val="000000"/>
              </w:rPr>
            </w:pPr>
            <w:r>
              <w:rPr>
                <w:rFonts w:ascii="Calibri" w:eastAsia="Times New Roman" w:hAnsi="Calibri"/>
                <w:color w:val="000000"/>
              </w:rPr>
              <w:t>42,2</w:t>
            </w:r>
          </w:p>
        </w:tc>
        <w:tc>
          <w:tcPr>
            <w:tcW w:w="2302" w:type="dxa"/>
            <w:vAlign w:val="bottom"/>
          </w:tcPr>
          <w:p w14:paraId="38D1F3C5" w14:textId="77777777" w:rsidR="00B66018" w:rsidRDefault="00B66018">
            <w:pPr>
              <w:jc w:val="right"/>
              <w:rPr>
                <w:rFonts w:ascii="Calibri" w:eastAsia="Times New Roman" w:hAnsi="Calibri"/>
                <w:color w:val="000000"/>
              </w:rPr>
            </w:pPr>
            <w:r>
              <w:rPr>
                <w:rFonts w:ascii="Calibri" w:eastAsia="Times New Roman" w:hAnsi="Calibri"/>
                <w:color w:val="000000"/>
              </w:rPr>
              <w:t>42,2</w:t>
            </w:r>
          </w:p>
        </w:tc>
      </w:tr>
      <w:tr w:rsidR="00B66018" w14:paraId="0F0ADAEC" w14:textId="77777777" w:rsidTr="000A6C2D">
        <w:trPr>
          <w:trHeight w:val="375"/>
        </w:trPr>
        <w:tc>
          <w:tcPr>
            <w:tcW w:w="2235" w:type="dxa"/>
            <w:vAlign w:val="bottom"/>
          </w:tcPr>
          <w:p w14:paraId="2D1C0974" w14:textId="77777777" w:rsidR="00B66018" w:rsidRDefault="00B66018">
            <w:pPr>
              <w:jc w:val="right"/>
              <w:rPr>
                <w:rFonts w:ascii="Calibri" w:eastAsia="Times New Roman" w:hAnsi="Calibri"/>
                <w:color w:val="000000"/>
              </w:rPr>
            </w:pPr>
            <w:r>
              <w:rPr>
                <w:rFonts w:ascii="Calibri" w:eastAsia="Times New Roman" w:hAnsi="Calibri"/>
                <w:color w:val="000000"/>
              </w:rPr>
              <w:t>2013</w:t>
            </w:r>
          </w:p>
        </w:tc>
        <w:tc>
          <w:tcPr>
            <w:tcW w:w="2369" w:type="dxa"/>
            <w:vAlign w:val="bottom"/>
          </w:tcPr>
          <w:p w14:paraId="27A37BF6" w14:textId="77777777" w:rsidR="00B66018" w:rsidRDefault="00B66018">
            <w:pPr>
              <w:jc w:val="right"/>
              <w:rPr>
                <w:rFonts w:ascii="Calibri" w:eastAsia="Times New Roman" w:hAnsi="Calibri"/>
                <w:color w:val="000000"/>
              </w:rPr>
            </w:pPr>
            <w:r>
              <w:rPr>
                <w:rFonts w:ascii="Calibri" w:eastAsia="Times New Roman" w:hAnsi="Calibri"/>
                <w:color w:val="000000"/>
              </w:rPr>
              <w:t>49,9</w:t>
            </w:r>
          </w:p>
        </w:tc>
        <w:tc>
          <w:tcPr>
            <w:tcW w:w="2302" w:type="dxa"/>
            <w:vAlign w:val="bottom"/>
          </w:tcPr>
          <w:p w14:paraId="45D75785" w14:textId="77777777" w:rsidR="00B66018" w:rsidRDefault="00B66018">
            <w:pPr>
              <w:jc w:val="right"/>
              <w:rPr>
                <w:rFonts w:ascii="Calibri" w:eastAsia="Times New Roman" w:hAnsi="Calibri"/>
                <w:color w:val="000000"/>
              </w:rPr>
            </w:pPr>
            <w:r>
              <w:rPr>
                <w:rFonts w:ascii="Calibri" w:eastAsia="Times New Roman" w:hAnsi="Calibri"/>
                <w:color w:val="000000"/>
              </w:rPr>
              <w:t>50,4</w:t>
            </w:r>
          </w:p>
        </w:tc>
        <w:tc>
          <w:tcPr>
            <w:tcW w:w="2302" w:type="dxa"/>
            <w:vAlign w:val="bottom"/>
          </w:tcPr>
          <w:p w14:paraId="71456A45" w14:textId="77777777" w:rsidR="00B66018" w:rsidRDefault="00B66018">
            <w:pPr>
              <w:jc w:val="right"/>
              <w:rPr>
                <w:rFonts w:ascii="Calibri" w:eastAsia="Times New Roman" w:hAnsi="Calibri"/>
                <w:color w:val="000000"/>
              </w:rPr>
            </w:pPr>
            <w:r>
              <w:rPr>
                <w:rFonts w:ascii="Calibri" w:eastAsia="Times New Roman" w:hAnsi="Calibri"/>
                <w:color w:val="000000"/>
              </w:rPr>
              <w:t>49,5</w:t>
            </w:r>
          </w:p>
        </w:tc>
      </w:tr>
      <w:tr w:rsidR="00B66018" w14:paraId="33465D32" w14:textId="77777777" w:rsidTr="000A6C2D">
        <w:trPr>
          <w:trHeight w:val="403"/>
        </w:trPr>
        <w:tc>
          <w:tcPr>
            <w:tcW w:w="2235" w:type="dxa"/>
            <w:vAlign w:val="bottom"/>
          </w:tcPr>
          <w:p w14:paraId="2E7D3AF8" w14:textId="77777777" w:rsidR="00B66018" w:rsidRDefault="00B66018">
            <w:pPr>
              <w:jc w:val="right"/>
              <w:rPr>
                <w:rFonts w:ascii="Calibri" w:eastAsia="Times New Roman" w:hAnsi="Calibri"/>
                <w:color w:val="000000"/>
              </w:rPr>
            </w:pPr>
            <w:r>
              <w:rPr>
                <w:rFonts w:ascii="Calibri" w:eastAsia="Times New Roman" w:hAnsi="Calibri"/>
                <w:color w:val="000000"/>
              </w:rPr>
              <w:t>2014</w:t>
            </w:r>
          </w:p>
        </w:tc>
        <w:tc>
          <w:tcPr>
            <w:tcW w:w="2369" w:type="dxa"/>
            <w:vAlign w:val="bottom"/>
          </w:tcPr>
          <w:p w14:paraId="154C0E85" w14:textId="77777777" w:rsidR="00B66018" w:rsidRDefault="00B66018">
            <w:pPr>
              <w:jc w:val="right"/>
              <w:rPr>
                <w:rFonts w:ascii="Calibri" w:eastAsia="Times New Roman" w:hAnsi="Calibri"/>
                <w:color w:val="000000"/>
              </w:rPr>
            </w:pPr>
            <w:r>
              <w:rPr>
                <w:rFonts w:ascii="Calibri" w:eastAsia="Times New Roman" w:hAnsi="Calibri"/>
                <w:color w:val="000000"/>
              </w:rPr>
              <w:t>44,9</w:t>
            </w:r>
          </w:p>
        </w:tc>
        <w:tc>
          <w:tcPr>
            <w:tcW w:w="2302" w:type="dxa"/>
            <w:vAlign w:val="bottom"/>
          </w:tcPr>
          <w:p w14:paraId="21D5B04D" w14:textId="77777777" w:rsidR="00B66018" w:rsidRDefault="00B66018">
            <w:pPr>
              <w:jc w:val="right"/>
              <w:rPr>
                <w:rFonts w:ascii="Calibri" w:eastAsia="Times New Roman" w:hAnsi="Calibri"/>
                <w:color w:val="000000"/>
              </w:rPr>
            </w:pPr>
            <w:r>
              <w:rPr>
                <w:rFonts w:ascii="Calibri" w:eastAsia="Times New Roman" w:hAnsi="Calibri"/>
                <w:color w:val="000000"/>
              </w:rPr>
              <w:t>45,5</w:t>
            </w:r>
          </w:p>
        </w:tc>
        <w:tc>
          <w:tcPr>
            <w:tcW w:w="2302" w:type="dxa"/>
            <w:vAlign w:val="bottom"/>
          </w:tcPr>
          <w:p w14:paraId="1DD9455A" w14:textId="77777777" w:rsidR="00B66018" w:rsidRDefault="00B66018">
            <w:pPr>
              <w:jc w:val="right"/>
              <w:rPr>
                <w:rFonts w:ascii="Calibri" w:eastAsia="Times New Roman" w:hAnsi="Calibri"/>
                <w:color w:val="000000"/>
              </w:rPr>
            </w:pPr>
            <w:r>
              <w:rPr>
                <w:rFonts w:ascii="Calibri" w:eastAsia="Times New Roman" w:hAnsi="Calibri"/>
                <w:color w:val="000000"/>
              </w:rPr>
              <w:t>44,5</w:t>
            </w:r>
          </w:p>
        </w:tc>
      </w:tr>
      <w:tr w:rsidR="00B66018" w14:paraId="2A9059C0" w14:textId="77777777" w:rsidTr="000A6C2D">
        <w:trPr>
          <w:trHeight w:val="387"/>
        </w:trPr>
        <w:tc>
          <w:tcPr>
            <w:tcW w:w="2235" w:type="dxa"/>
            <w:vAlign w:val="bottom"/>
          </w:tcPr>
          <w:p w14:paraId="2D72164A" w14:textId="77777777" w:rsidR="00B66018" w:rsidRDefault="00B66018">
            <w:pPr>
              <w:jc w:val="right"/>
              <w:rPr>
                <w:rFonts w:ascii="Calibri" w:eastAsia="Times New Roman" w:hAnsi="Calibri"/>
                <w:color w:val="000000"/>
              </w:rPr>
            </w:pPr>
            <w:r>
              <w:rPr>
                <w:rFonts w:ascii="Calibri" w:eastAsia="Times New Roman" w:hAnsi="Calibri"/>
                <w:color w:val="000000"/>
              </w:rPr>
              <w:t>2015</w:t>
            </w:r>
          </w:p>
        </w:tc>
        <w:tc>
          <w:tcPr>
            <w:tcW w:w="2369" w:type="dxa"/>
            <w:vAlign w:val="bottom"/>
          </w:tcPr>
          <w:p w14:paraId="0CCDE788" w14:textId="77777777" w:rsidR="00B66018" w:rsidRDefault="00B66018">
            <w:pPr>
              <w:jc w:val="right"/>
              <w:rPr>
                <w:rFonts w:ascii="Calibri" w:eastAsia="Times New Roman" w:hAnsi="Calibri"/>
                <w:color w:val="000000"/>
              </w:rPr>
            </w:pPr>
            <w:r>
              <w:rPr>
                <w:rFonts w:ascii="Calibri" w:eastAsia="Times New Roman" w:hAnsi="Calibri"/>
                <w:color w:val="000000"/>
              </w:rPr>
              <w:t>43,3</w:t>
            </w:r>
          </w:p>
        </w:tc>
        <w:tc>
          <w:tcPr>
            <w:tcW w:w="2302" w:type="dxa"/>
            <w:vAlign w:val="bottom"/>
          </w:tcPr>
          <w:p w14:paraId="52380D4B" w14:textId="77777777" w:rsidR="00B66018" w:rsidRDefault="00B66018">
            <w:pPr>
              <w:jc w:val="right"/>
              <w:rPr>
                <w:rFonts w:ascii="Calibri" w:eastAsia="Times New Roman" w:hAnsi="Calibri"/>
                <w:color w:val="000000"/>
              </w:rPr>
            </w:pPr>
            <w:r>
              <w:rPr>
                <w:rFonts w:ascii="Calibri" w:eastAsia="Times New Roman" w:hAnsi="Calibri"/>
                <w:color w:val="000000"/>
              </w:rPr>
              <w:t>43,5</w:t>
            </w:r>
          </w:p>
        </w:tc>
        <w:tc>
          <w:tcPr>
            <w:tcW w:w="2302" w:type="dxa"/>
            <w:vAlign w:val="bottom"/>
          </w:tcPr>
          <w:p w14:paraId="4B62DBA0" w14:textId="77777777" w:rsidR="00B66018" w:rsidRDefault="00B66018">
            <w:pPr>
              <w:jc w:val="right"/>
              <w:rPr>
                <w:rFonts w:ascii="Calibri" w:eastAsia="Times New Roman" w:hAnsi="Calibri"/>
                <w:color w:val="000000"/>
              </w:rPr>
            </w:pPr>
            <w:r>
              <w:rPr>
                <w:rFonts w:ascii="Calibri" w:eastAsia="Times New Roman" w:hAnsi="Calibri"/>
                <w:color w:val="000000"/>
              </w:rPr>
              <w:t>41,5</w:t>
            </w:r>
          </w:p>
        </w:tc>
      </w:tr>
      <w:tr w:rsidR="00B66018" w14:paraId="5C01A5F6" w14:textId="77777777" w:rsidTr="000A6C2D">
        <w:trPr>
          <w:trHeight w:val="387"/>
        </w:trPr>
        <w:tc>
          <w:tcPr>
            <w:tcW w:w="2235" w:type="dxa"/>
            <w:vAlign w:val="bottom"/>
          </w:tcPr>
          <w:p w14:paraId="7ECFDF4E" w14:textId="77777777" w:rsidR="00B66018" w:rsidRDefault="00B66018">
            <w:pPr>
              <w:jc w:val="right"/>
              <w:rPr>
                <w:rFonts w:ascii="Calibri" w:eastAsia="Times New Roman" w:hAnsi="Calibri"/>
                <w:color w:val="000000"/>
              </w:rPr>
            </w:pPr>
            <w:r>
              <w:rPr>
                <w:rFonts w:ascii="Calibri" w:eastAsia="Times New Roman" w:hAnsi="Calibri"/>
                <w:color w:val="000000"/>
              </w:rPr>
              <w:t>2016</w:t>
            </w:r>
          </w:p>
        </w:tc>
        <w:tc>
          <w:tcPr>
            <w:tcW w:w="2369" w:type="dxa"/>
            <w:vAlign w:val="bottom"/>
          </w:tcPr>
          <w:p w14:paraId="07B6BB42" w14:textId="77777777" w:rsidR="00B66018" w:rsidRDefault="00B66018">
            <w:pPr>
              <w:jc w:val="right"/>
              <w:rPr>
                <w:rFonts w:ascii="Calibri" w:eastAsia="Times New Roman" w:hAnsi="Calibri"/>
                <w:color w:val="000000"/>
              </w:rPr>
            </w:pPr>
            <w:r>
              <w:rPr>
                <w:rFonts w:ascii="Calibri" w:eastAsia="Times New Roman" w:hAnsi="Calibri"/>
                <w:color w:val="000000"/>
              </w:rPr>
              <w:t>31,8</w:t>
            </w:r>
          </w:p>
        </w:tc>
        <w:tc>
          <w:tcPr>
            <w:tcW w:w="2302" w:type="dxa"/>
            <w:vAlign w:val="bottom"/>
          </w:tcPr>
          <w:p w14:paraId="083A99A3" w14:textId="77777777" w:rsidR="00B66018" w:rsidRDefault="00B66018">
            <w:pPr>
              <w:jc w:val="right"/>
              <w:rPr>
                <w:rFonts w:ascii="Calibri" w:eastAsia="Times New Roman" w:hAnsi="Calibri"/>
                <w:color w:val="000000"/>
              </w:rPr>
            </w:pPr>
            <w:r>
              <w:rPr>
                <w:rFonts w:ascii="Calibri" w:eastAsia="Times New Roman" w:hAnsi="Calibri"/>
                <w:color w:val="000000"/>
              </w:rPr>
              <w:t>32,2</w:t>
            </w:r>
          </w:p>
        </w:tc>
        <w:tc>
          <w:tcPr>
            <w:tcW w:w="2302" w:type="dxa"/>
            <w:vAlign w:val="bottom"/>
          </w:tcPr>
          <w:p w14:paraId="4B24C0B4" w14:textId="77777777" w:rsidR="00B66018" w:rsidRDefault="00B66018">
            <w:pPr>
              <w:jc w:val="right"/>
              <w:rPr>
                <w:rFonts w:ascii="Calibri" w:eastAsia="Times New Roman" w:hAnsi="Calibri"/>
                <w:color w:val="000000"/>
              </w:rPr>
            </w:pPr>
            <w:r>
              <w:rPr>
                <w:rFonts w:ascii="Calibri" w:eastAsia="Times New Roman" w:hAnsi="Calibri"/>
                <w:color w:val="000000"/>
              </w:rPr>
              <w:t>31,4</w:t>
            </w:r>
          </w:p>
        </w:tc>
      </w:tr>
    </w:tbl>
    <w:p w14:paraId="4648AFC6" w14:textId="77777777" w:rsidR="003A2BB0" w:rsidRDefault="003A2BB0" w:rsidP="004A2EDD">
      <w:pPr>
        <w:pStyle w:val="Heading2"/>
        <w:jc w:val="center"/>
        <w:rPr>
          <w:rFonts w:ascii="Calibri" w:eastAsia="Times New Roman" w:hAnsi="Calibri"/>
          <w:sz w:val="24"/>
          <w:szCs w:val="24"/>
        </w:rPr>
      </w:pPr>
    </w:p>
    <w:p w14:paraId="33628672" w14:textId="5491E376" w:rsidR="0054217F" w:rsidRPr="005231DB" w:rsidRDefault="00B66018" w:rsidP="005231DB">
      <w:pPr>
        <w:pStyle w:val="Heading2"/>
        <w:rPr>
          <w:rFonts w:ascii="Calibri" w:eastAsia="Times New Roman" w:hAnsi="Calibri"/>
          <w:sz w:val="24"/>
          <w:szCs w:val="24"/>
        </w:rPr>
      </w:pPr>
      <w:r>
        <w:rPr>
          <w:noProof/>
          <w:lang w:val="hr-HR" w:eastAsia="hr-HR"/>
        </w:rPr>
        <w:drawing>
          <wp:anchor distT="0" distB="0" distL="114300" distR="114300" simplePos="0" relativeHeight="251663360" behindDoc="0" locked="0" layoutInCell="1" allowOverlap="1" wp14:anchorId="601EBC66" wp14:editId="162E8C1E">
            <wp:simplePos x="0" y="0"/>
            <wp:positionH relativeFrom="column">
              <wp:posOffset>636270</wp:posOffset>
            </wp:positionH>
            <wp:positionV relativeFrom="paragraph">
              <wp:posOffset>32385</wp:posOffset>
            </wp:positionV>
            <wp:extent cx="4572000" cy="2743200"/>
            <wp:effectExtent l="0" t="0" r="0" b="0"/>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65CC9143" w14:textId="77777777" w:rsidR="004A2EDD" w:rsidRPr="004A2EDD" w:rsidRDefault="004A2EDD" w:rsidP="004A2E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dr w:val="none" w:sz="0" w:space="0" w:color="auto"/>
          <w:lang w:val="en-GB" w:eastAsia="en-GB"/>
        </w:rPr>
      </w:pPr>
      <w:r w:rsidRPr="004A2EDD">
        <w:rPr>
          <w:rFonts w:ascii="Calibri" w:eastAsia="Times New Roman" w:hAnsi="Calibri"/>
          <w:bdr w:val="none" w:sz="0" w:space="0" w:color="auto"/>
          <w:lang w:val="en-GB" w:eastAsia="en-GB"/>
        </w:rPr>
        <w:t xml:space="preserve">The youth unemployment rate is calculated by dividing the number of unemployed persons aged 15 to 24 by the total active population of the same age group. The indicator is based on the EU Labour Force Survey. </w:t>
      </w:r>
    </w:p>
    <w:p w14:paraId="73EDACF9" w14:textId="77777777" w:rsidR="003C0F01" w:rsidRPr="00B66018" w:rsidRDefault="003C0F01">
      <w:pPr>
        <w:pStyle w:val="Body"/>
        <w:rPr>
          <w:sz w:val="24"/>
          <w:szCs w:val="24"/>
        </w:rPr>
      </w:pPr>
    </w:p>
    <w:p w14:paraId="0011D368" w14:textId="77777777" w:rsidR="00B66018" w:rsidRDefault="00B66018">
      <w:pPr>
        <w:pStyle w:val="Body"/>
        <w:rPr>
          <w:sz w:val="24"/>
          <w:szCs w:val="24"/>
        </w:rPr>
      </w:pPr>
      <w:r w:rsidRPr="00B66018">
        <w:rPr>
          <w:sz w:val="24"/>
          <w:szCs w:val="24"/>
        </w:rPr>
        <w:t xml:space="preserve">Simmilar to </w:t>
      </w:r>
      <w:r w:rsidRPr="0054217F">
        <w:rPr>
          <w:rFonts w:eastAsia="Times New Roman"/>
          <w:sz w:val="24"/>
          <w:szCs w:val="24"/>
          <w:bdr w:val="none" w:sz="0" w:space="0" w:color="auto"/>
          <w:lang w:val="en-GB" w:eastAsia="en-GB"/>
        </w:rPr>
        <w:t>long-term unemployment rate</w:t>
      </w:r>
      <w:r w:rsidRPr="00B66018">
        <w:rPr>
          <w:rFonts w:eastAsia="Times New Roman"/>
          <w:sz w:val="24"/>
          <w:szCs w:val="24"/>
          <w:bdr w:val="none" w:sz="0" w:space="0" w:color="auto"/>
          <w:lang w:val="en-GB" w:eastAsia="en-GB"/>
        </w:rPr>
        <w:t xml:space="preserve">, the </w:t>
      </w:r>
      <w:r w:rsidRPr="004A2EDD">
        <w:rPr>
          <w:rFonts w:eastAsia="Times New Roman"/>
          <w:sz w:val="24"/>
          <w:szCs w:val="24"/>
          <w:bdr w:val="none" w:sz="0" w:space="0" w:color="auto"/>
          <w:lang w:val="en-GB" w:eastAsia="en-GB"/>
        </w:rPr>
        <w:t>youth unemployment rate</w:t>
      </w:r>
      <w:r w:rsidRPr="00B66018">
        <w:rPr>
          <w:rFonts w:eastAsia="Times New Roman"/>
          <w:sz w:val="24"/>
          <w:szCs w:val="24"/>
          <w:bdr w:val="none" w:sz="0" w:space="0" w:color="auto"/>
          <w:lang w:val="en-GB" w:eastAsia="en-GB"/>
        </w:rPr>
        <w:t xml:space="preserve"> seems to follow a good trend, but again, we lost a large percentage of young economically active population</w:t>
      </w:r>
      <w:r>
        <w:rPr>
          <w:rFonts w:eastAsia="Times New Roman"/>
          <w:sz w:val="24"/>
          <w:szCs w:val="24"/>
          <w:bdr w:val="none" w:sz="0" w:space="0" w:color="auto"/>
          <w:lang w:val="en-GB" w:eastAsia="en-GB"/>
        </w:rPr>
        <w:t xml:space="preserve"> in many emigration waves that hit Croatia since joining the EU.</w:t>
      </w:r>
    </w:p>
    <w:p w14:paraId="46E7F580" w14:textId="77777777" w:rsidR="00C07380" w:rsidRPr="00B66018" w:rsidRDefault="00957B57">
      <w:pPr>
        <w:pStyle w:val="Body"/>
        <w:rPr>
          <w:sz w:val="24"/>
          <w:szCs w:val="24"/>
        </w:rPr>
      </w:pPr>
      <w:r w:rsidRPr="00B66018">
        <w:rPr>
          <w:sz w:val="24"/>
          <w:szCs w:val="24"/>
          <w:lang w:val="en-US"/>
        </w:rPr>
        <w:t xml:space="preserve">For example, the explanation behind the dropping unemployment rate is simple </w:t>
      </w:r>
      <w:r w:rsidRPr="00B66018">
        <w:rPr>
          <w:sz w:val="24"/>
          <w:szCs w:val="24"/>
        </w:rPr>
        <w:t xml:space="preserve">– </w:t>
      </w:r>
      <w:r w:rsidRPr="00B66018">
        <w:rPr>
          <w:sz w:val="24"/>
          <w:szCs w:val="24"/>
          <w:lang w:val="en-US"/>
        </w:rPr>
        <w:t>it is a logical step following t</w:t>
      </w:r>
      <w:r w:rsidR="00662B91" w:rsidRPr="00B66018">
        <w:rPr>
          <w:sz w:val="24"/>
          <w:szCs w:val="24"/>
          <w:lang w:val="en-US"/>
        </w:rPr>
        <w:t>he increased number of people e</w:t>
      </w:r>
      <w:r w:rsidRPr="00B66018">
        <w:rPr>
          <w:sz w:val="24"/>
          <w:szCs w:val="24"/>
          <w:lang w:val="en-US"/>
        </w:rPr>
        <w:t xml:space="preserve">migrating from Croatia. </w:t>
      </w:r>
    </w:p>
    <w:p w14:paraId="4BC21C99" w14:textId="77777777" w:rsidR="00C07380" w:rsidRPr="00B66018" w:rsidRDefault="00957B57">
      <w:pPr>
        <w:pStyle w:val="Body"/>
        <w:rPr>
          <w:sz w:val="24"/>
          <w:szCs w:val="24"/>
        </w:rPr>
      </w:pPr>
      <w:r w:rsidRPr="00B66018">
        <w:rPr>
          <w:sz w:val="24"/>
          <w:szCs w:val="24"/>
          <w:lang w:val="en-US"/>
        </w:rPr>
        <w:lastRenderedPageBreak/>
        <w:t>Furthermore, there are a lot of unregistered employees that haven't been taken into count. Which means that yes, people are employed, but within the shadow economy market, or within the same fields that aren't prosperous to the country's economy.</w:t>
      </w:r>
    </w:p>
    <w:p w14:paraId="70CFECAD" w14:textId="77777777" w:rsidR="00C07380" w:rsidRPr="00B66018" w:rsidRDefault="00957B57">
      <w:pPr>
        <w:pStyle w:val="Body"/>
        <w:rPr>
          <w:sz w:val="24"/>
          <w:szCs w:val="24"/>
        </w:rPr>
      </w:pPr>
      <w:r w:rsidRPr="00B66018">
        <w:rPr>
          <w:sz w:val="24"/>
          <w:szCs w:val="24"/>
          <w:lang w:val="en-US"/>
        </w:rPr>
        <w:t>One factor that also helps falsify the statistics unintentionally is that our annual rate of unemployment changes drastically when comparing the summer months to other times of the year. That is, because in the summer we have seasonal workers seemingly lowering our unemployment rate.</w:t>
      </w:r>
      <w:r w:rsidR="003C0F01" w:rsidRPr="00B66018">
        <w:rPr>
          <w:noProof/>
          <w:sz w:val="24"/>
          <w:szCs w:val="24"/>
        </w:rPr>
        <w:t xml:space="preserve"> </w:t>
      </w:r>
    </w:p>
    <w:p w14:paraId="73B7938B" w14:textId="77777777" w:rsidR="003C0F01" w:rsidRPr="00B66018" w:rsidRDefault="00B66018">
      <w:pPr>
        <w:pStyle w:val="Body"/>
        <w:rPr>
          <w:sz w:val="24"/>
          <w:szCs w:val="24"/>
          <w:lang w:val="en-US"/>
        </w:rPr>
      </w:pPr>
      <w:r w:rsidRPr="00B66018">
        <w:rPr>
          <w:noProof/>
          <w:sz w:val="24"/>
          <w:szCs w:val="24"/>
        </w:rPr>
        <w:drawing>
          <wp:anchor distT="0" distB="0" distL="114300" distR="114300" simplePos="0" relativeHeight="251659264" behindDoc="0" locked="0" layoutInCell="1" allowOverlap="1" wp14:anchorId="2212F3FB" wp14:editId="4C269E1A">
            <wp:simplePos x="0" y="0"/>
            <wp:positionH relativeFrom="column">
              <wp:posOffset>1094740</wp:posOffset>
            </wp:positionH>
            <wp:positionV relativeFrom="paragraph">
              <wp:posOffset>187960</wp:posOffset>
            </wp:positionV>
            <wp:extent cx="3514725" cy="1790700"/>
            <wp:effectExtent l="0" t="0" r="9525" b="0"/>
            <wp:wrapSquare wrapText="bothSides"/>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9">
                      <a:extLst>
                        <a:ext uri="{28A0092B-C50C-407E-A947-70E740481C1C}">
                          <a14:useLocalDpi xmlns:a14="http://schemas.microsoft.com/office/drawing/2010/main" val="0"/>
                        </a:ext>
                      </a:extLst>
                    </a:blip>
                    <a:srcRect l="9234" t="3374" r="17188" b="6978"/>
                    <a:stretch>
                      <a:fillRect/>
                    </a:stretch>
                  </pic:blipFill>
                  <pic:spPr>
                    <a:xfrm>
                      <a:off x="0" y="0"/>
                      <a:ext cx="3514725" cy="1790700"/>
                    </a:xfrm>
                    <a:prstGeom prst="rect">
                      <a:avLst/>
                    </a:prstGeom>
                    <a:ln w="12700" cap="flat">
                      <a:noFill/>
                      <a:miter lim="400000"/>
                    </a:ln>
                    <a:effectLst/>
                  </pic:spPr>
                </pic:pic>
              </a:graphicData>
            </a:graphic>
          </wp:anchor>
        </w:drawing>
      </w:r>
    </w:p>
    <w:p w14:paraId="64A42E82" w14:textId="77777777" w:rsidR="003C0F01" w:rsidRPr="00B66018" w:rsidRDefault="003C0F01">
      <w:pPr>
        <w:pStyle w:val="Body"/>
        <w:rPr>
          <w:sz w:val="24"/>
          <w:szCs w:val="24"/>
          <w:lang w:val="en-US"/>
        </w:rPr>
      </w:pPr>
    </w:p>
    <w:p w14:paraId="09992A8A" w14:textId="77777777" w:rsidR="003C0F01" w:rsidRPr="00B66018" w:rsidRDefault="003C0F01">
      <w:pPr>
        <w:pStyle w:val="Body"/>
        <w:rPr>
          <w:sz w:val="24"/>
          <w:szCs w:val="24"/>
          <w:lang w:val="en-US"/>
        </w:rPr>
      </w:pPr>
    </w:p>
    <w:p w14:paraId="5401A688" w14:textId="77777777" w:rsidR="003C0F01" w:rsidRPr="00B66018" w:rsidRDefault="003C0F01">
      <w:pPr>
        <w:pStyle w:val="Body"/>
        <w:rPr>
          <w:sz w:val="24"/>
          <w:szCs w:val="24"/>
          <w:lang w:val="en-US"/>
        </w:rPr>
      </w:pPr>
    </w:p>
    <w:p w14:paraId="5E5E844C" w14:textId="77777777" w:rsidR="003C0F01" w:rsidRDefault="003C0F01">
      <w:pPr>
        <w:pStyle w:val="Body"/>
        <w:rPr>
          <w:sz w:val="24"/>
          <w:szCs w:val="24"/>
          <w:lang w:val="en-US"/>
        </w:rPr>
      </w:pPr>
    </w:p>
    <w:p w14:paraId="6B065017" w14:textId="77777777" w:rsidR="00B66018" w:rsidRDefault="00B66018">
      <w:pPr>
        <w:pStyle w:val="Body"/>
        <w:rPr>
          <w:sz w:val="24"/>
          <w:szCs w:val="24"/>
          <w:lang w:val="en-US"/>
        </w:rPr>
      </w:pPr>
    </w:p>
    <w:p w14:paraId="6C3B858D" w14:textId="77777777" w:rsidR="00B66018" w:rsidRPr="00B66018" w:rsidRDefault="00B66018">
      <w:pPr>
        <w:pStyle w:val="Body"/>
        <w:rPr>
          <w:sz w:val="24"/>
          <w:szCs w:val="24"/>
          <w:lang w:val="en-US"/>
        </w:rPr>
      </w:pPr>
    </w:p>
    <w:p w14:paraId="427F7486" w14:textId="77777777" w:rsidR="003C0F01" w:rsidRPr="00B66018" w:rsidRDefault="003C0F01">
      <w:pPr>
        <w:pStyle w:val="Body"/>
        <w:rPr>
          <w:sz w:val="24"/>
          <w:szCs w:val="24"/>
          <w:lang w:val="en-US"/>
        </w:rPr>
      </w:pPr>
    </w:p>
    <w:p w14:paraId="2EA60DBA" w14:textId="77777777" w:rsidR="003C0F01" w:rsidRPr="00B66018" w:rsidRDefault="003C0F01">
      <w:pPr>
        <w:pStyle w:val="Body"/>
        <w:rPr>
          <w:sz w:val="24"/>
          <w:szCs w:val="24"/>
          <w:lang w:val="en-US"/>
        </w:rPr>
      </w:pPr>
    </w:p>
    <w:p w14:paraId="33695244" w14:textId="77777777" w:rsidR="00C07380" w:rsidRPr="00B66018" w:rsidRDefault="00957B57">
      <w:pPr>
        <w:pStyle w:val="Body"/>
        <w:rPr>
          <w:sz w:val="24"/>
          <w:szCs w:val="24"/>
        </w:rPr>
      </w:pPr>
      <w:r w:rsidRPr="00B66018">
        <w:rPr>
          <w:sz w:val="24"/>
          <w:szCs w:val="24"/>
          <w:lang w:val="en-US"/>
        </w:rPr>
        <w:t>The conclusion is that Croatia needs to think beyond the set objectives, as it also has a deeper problem. In the future, our objective should be to lower the youth unemployment rate which is currentl</w:t>
      </w:r>
      <w:r w:rsidR="00662B91" w:rsidRPr="00B66018">
        <w:rPr>
          <w:sz w:val="24"/>
          <w:szCs w:val="24"/>
          <w:lang w:val="en-US"/>
        </w:rPr>
        <w:t>y around 40% and, to manage ful</w:t>
      </w:r>
      <w:r w:rsidRPr="00B66018">
        <w:rPr>
          <w:sz w:val="24"/>
          <w:szCs w:val="24"/>
          <w:lang w:val="en-US"/>
        </w:rPr>
        <w:t>filling that, it is cru</w:t>
      </w:r>
      <w:r w:rsidR="00662B91" w:rsidRPr="00B66018">
        <w:rPr>
          <w:sz w:val="24"/>
          <w:szCs w:val="24"/>
          <w:lang w:val="en-US"/>
        </w:rPr>
        <w:t>cia</w:t>
      </w:r>
      <w:r w:rsidRPr="00B66018">
        <w:rPr>
          <w:sz w:val="24"/>
          <w:szCs w:val="24"/>
          <w:lang w:val="en-US"/>
        </w:rPr>
        <w:t>l that we keep young people from immigrating at this rate.</w:t>
      </w:r>
    </w:p>
    <w:sectPr w:rsidR="00C07380" w:rsidRPr="00B66018">
      <w:headerReference w:type="default" r:id="rId10"/>
      <w:footerReference w:type="default" r:id="rId11"/>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471B2" w14:textId="77777777" w:rsidR="00C121A7" w:rsidRDefault="00C121A7">
      <w:r>
        <w:separator/>
      </w:r>
    </w:p>
  </w:endnote>
  <w:endnote w:type="continuationSeparator" w:id="0">
    <w:p w14:paraId="2D1C4E33" w14:textId="77777777" w:rsidR="00C121A7" w:rsidRDefault="00C1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DD8E6" w14:textId="77777777" w:rsidR="00C07380" w:rsidRDefault="00C0738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349E5" w14:textId="77777777" w:rsidR="00C121A7" w:rsidRDefault="00C121A7">
      <w:r>
        <w:separator/>
      </w:r>
    </w:p>
  </w:footnote>
  <w:footnote w:type="continuationSeparator" w:id="0">
    <w:p w14:paraId="5C2F1AEA" w14:textId="77777777" w:rsidR="00C121A7" w:rsidRDefault="00C12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FA058" w14:textId="77777777" w:rsidR="00C07380" w:rsidRDefault="00C0738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380"/>
    <w:rsid w:val="000B36E9"/>
    <w:rsid w:val="00124291"/>
    <w:rsid w:val="00283653"/>
    <w:rsid w:val="00357E76"/>
    <w:rsid w:val="003873BC"/>
    <w:rsid w:val="003A2BB0"/>
    <w:rsid w:val="003C0F01"/>
    <w:rsid w:val="004A2EDD"/>
    <w:rsid w:val="005231DB"/>
    <w:rsid w:val="0054217F"/>
    <w:rsid w:val="00662B91"/>
    <w:rsid w:val="00751439"/>
    <w:rsid w:val="00957B57"/>
    <w:rsid w:val="00960A84"/>
    <w:rsid w:val="0099689E"/>
    <w:rsid w:val="00B66018"/>
    <w:rsid w:val="00C07380"/>
    <w:rsid w:val="00C121A7"/>
    <w:rsid w:val="00C24164"/>
    <w:rsid w:val="00D84B95"/>
    <w:rsid w:val="00D864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1B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hr-HR" w:eastAsia="hr-H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basedOn w:val="Normal"/>
    <w:link w:val="Heading2Char"/>
    <w:uiPriority w:val="9"/>
    <w:qFormat/>
    <w:rsid w:val="005421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table" w:styleId="TableGrid">
    <w:name w:val="Table Grid"/>
    <w:basedOn w:val="TableNormal"/>
    <w:uiPriority w:val="39"/>
    <w:rsid w:val="000B36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4217F"/>
    <w:rPr>
      <w:b/>
      <w:bCs/>
      <w:sz w:val="36"/>
      <w:szCs w:val="36"/>
      <w:bdr w:val="none" w:sz="0" w:space="0" w:color="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hr-HR" w:eastAsia="hr-H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basedOn w:val="Normal"/>
    <w:link w:val="Heading2Char"/>
    <w:uiPriority w:val="9"/>
    <w:qFormat/>
    <w:rsid w:val="005421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table" w:styleId="TableGrid">
    <w:name w:val="Table Grid"/>
    <w:basedOn w:val="TableNormal"/>
    <w:uiPriority w:val="39"/>
    <w:rsid w:val="000B36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4217F"/>
    <w:rPr>
      <w:b/>
      <w:bCs/>
      <w:sz w:val="36"/>
      <w:szCs w:val="36"/>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3048">
      <w:bodyDiv w:val="1"/>
      <w:marLeft w:val="0"/>
      <w:marRight w:val="0"/>
      <w:marTop w:val="0"/>
      <w:marBottom w:val="0"/>
      <w:divBdr>
        <w:top w:val="none" w:sz="0" w:space="0" w:color="auto"/>
        <w:left w:val="none" w:sz="0" w:space="0" w:color="auto"/>
        <w:bottom w:val="none" w:sz="0" w:space="0" w:color="auto"/>
        <w:right w:val="none" w:sz="0" w:space="0" w:color="auto"/>
      </w:divBdr>
    </w:div>
    <w:div w:id="110563634">
      <w:bodyDiv w:val="1"/>
      <w:marLeft w:val="0"/>
      <w:marRight w:val="0"/>
      <w:marTop w:val="0"/>
      <w:marBottom w:val="0"/>
      <w:divBdr>
        <w:top w:val="none" w:sz="0" w:space="0" w:color="auto"/>
        <w:left w:val="none" w:sz="0" w:space="0" w:color="auto"/>
        <w:bottom w:val="none" w:sz="0" w:space="0" w:color="auto"/>
        <w:right w:val="none" w:sz="0" w:space="0" w:color="auto"/>
      </w:divBdr>
    </w:div>
    <w:div w:id="284898027">
      <w:bodyDiv w:val="1"/>
      <w:marLeft w:val="0"/>
      <w:marRight w:val="0"/>
      <w:marTop w:val="0"/>
      <w:marBottom w:val="0"/>
      <w:divBdr>
        <w:top w:val="none" w:sz="0" w:space="0" w:color="auto"/>
        <w:left w:val="none" w:sz="0" w:space="0" w:color="auto"/>
        <w:bottom w:val="none" w:sz="0" w:space="0" w:color="auto"/>
        <w:right w:val="none" w:sz="0" w:space="0" w:color="auto"/>
      </w:divBdr>
    </w:div>
    <w:div w:id="588151978">
      <w:bodyDiv w:val="1"/>
      <w:marLeft w:val="0"/>
      <w:marRight w:val="0"/>
      <w:marTop w:val="0"/>
      <w:marBottom w:val="0"/>
      <w:divBdr>
        <w:top w:val="none" w:sz="0" w:space="0" w:color="auto"/>
        <w:left w:val="none" w:sz="0" w:space="0" w:color="auto"/>
        <w:bottom w:val="none" w:sz="0" w:space="0" w:color="auto"/>
        <w:right w:val="none" w:sz="0" w:space="0" w:color="auto"/>
      </w:divBdr>
    </w:div>
    <w:div w:id="757822548">
      <w:bodyDiv w:val="1"/>
      <w:marLeft w:val="0"/>
      <w:marRight w:val="0"/>
      <w:marTop w:val="0"/>
      <w:marBottom w:val="0"/>
      <w:divBdr>
        <w:top w:val="none" w:sz="0" w:space="0" w:color="auto"/>
        <w:left w:val="none" w:sz="0" w:space="0" w:color="auto"/>
        <w:bottom w:val="none" w:sz="0" w:space="0" w:color="auto"/>
        <w:right w:val="none" w:sz="0" w:space="0" w:color="auto"/>
      </w:divBdr>
    </w:div>
    <w:div w:id="965937334">
      <w:bodyDiv w:val="1"/>
      <w:marLeft w:val="0"/>
      <w:marRight w:val="0"/>
      <w:marTop w:val="0"/>
      <w:marBottom w:val="0"/>
      <w:divBdr>
        <w:top w:val="none" w:sz="0" w:space="0" w:color="auto"/>
        <w:left w:val="none" w:sz="0" w:space="0" w:color="auto"/>
        <w:bottom w:val="none" w:sz="0" w:space="0" w:color="auto"/>
        <w:right w:val="none" w:sz="0" w:space="0" w:color="auto"/>
      </w:divBdr>
    </w:div>
    <w:div w:id="1377897964">
      <w:bodyDiv w:val="1"/>
      <w:marLeft w:val="0"/>
      <w:marRight w:val="0"/>
      <w:marTop w:val="0"/>
      <w:marBottom w:val="0"/>
      <w:divBdr>
        <w:top w:val="none" w:sz="0" w:space="0" w:color="auto"/>
        <w:left w:val="none" w:sz="0" w:space="0" w:color="auto"/>
        <w:bottom w:val="none" w:sz="0" w:space="0" w:color="auto"/>
        <w:right w:val="none" w:sz="0" w:space="0" w:color="auto"/>
      </w:divBdr>
    </w:div>
    <w:div w:id="1467355571">
      <w:bodyDiv w:val="1"/>
      <w:marLeft w:val="0"/>
      <w:marRight w:val="0"/>
      <w:marTop w:val="0"/>
      <w:marBottom w:val="0"/>
      <w:divBdr>
        <w:top w:val="none" w:sz="0" w:space="0" w:color="auto"/>
        <w:left w:val="none" w:sz="0" w:space="0" w:color="auto"/>
        <w:bottom w:val="none" w:sz="0" w:space="0" w:color="auto"/>
        <w:right w:val="none" w:sz="0" w:space="0" w:color="auto"/>
      </w:divBdr>
    </w:div>
    <w:div w:id="1498232067">
      <w:bodyDiv w:val="1"/>
      <w:marLeft w:val="0"/>
      <w:marRight w:val="0"/>
      <w:marTop w:val="0"/>
      <w:marBottom w:val="0"/>
      <w:divBdr>
        <w:top w:val="none" w:sz="0" w:space="0" w:color="auto"/>
        <w:left w:val="none" w:sz="0" w:space="0" w:color="auto"/>
        <w:bottom w:val="none" w:sz="0" w:space="0" w:color="auto"/>
        <w:right w:val="none" w:sz="0" w:space="0" w:color="auto"/>
      </w:divBdr>
    </w:div>
    <w:div w:id="1620066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mj-lt"/>
                <a:ea typeface="Calibri" charset="0"/>
                <a:cs typeface="Calibri" charset="0"/>
              </a:rPr>
              <a:t>Long-term unemployment rate by</a:t>
            </a:r>
            <a:r>
              <a:rPr lang="en-US" baseline="0">
                <a:latin typeface="+mj-lt"/>
                <a:ea typeface="Calibri" charset="0"/>
                <a:cs typeface="Calibri" charset="0"/>
              </a:rPr>
              <a:t> percentage</a:t>
            </a:r>
            <a:r>
              <a:rPr lang="en-US">
                <a:latin typeface="+mj-lt"/>
                <a:ea typeface="Calibri" charset="0"/>
                <a:cs typeface="Calibri" charset="0"/>
              </a:rPr>
              <a:t> of unemployed population 15-74 yrs</a:t>
            </a:r>
          </a:p>
        </c:rich>
      </c:tx>
      <c:overlay val="0"/>
      <c:spPr>
        <a:noFill/>
        <a:ln>
          <a:noFill/>
        </a:ln>
        <a:effectLst/>
      </c:spPr>
    </c:title>
    <c:autoTitleDeleted val="0"/>
    <c:plotArea>
      <c:layout/>
      <c:barChart>
        <c:barDir val="col"/>
        <c:grouping val="clustered"/>
        <c:varyColors val="0"/>
        <c:ser>
          <c:idx val="0"/>
          <c:order val="0"/>
          <c:tx>
            <c:strRef>
              <c:f>Sheet1!$C$1</c:f>
              <c:strCache>
                <c:ptCount val="1"/>
                <c:pt idx="0">
                  <c:v>Long-term unemployment rate % of active population</c:v>
                </c:pt>
              </c:strCache>
            </c:strRef>
          </c:tx>
          <c:spPr>
            <a:solidFill>
              <a:schemeClr val="accent1"/>
            </a:solidFill>
            <a:ln>
              <a:noFill/>
            </a:ln>
            <a:effectLst/>
          </c:spPr>
          <c:invertIfNegative val="0"/>
          <c:cat>
            <c:numRef>
              <c:f>Sheet1!$B$2:$B$13</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2018</c:v>
                </c:pt>
              </c:numCache>
            </c:numRef>
          </c:cat>
          <c:val>
            <c:numRef>
              <c:f>Sheet1!$C$2:$C$13</c:f>
              <c:numCache>
                <c:formatCode>General</c:formatCode>
                <c:ptCount val="12"/>
                <c:pt idx="0">
                  <c:v>6.7</c:v>
                </c:pt>
                <c:pt idx="1">
                  <c:v>6</c:v>
                </c:pt>
                <c:pt idx="2">
                  <c:v>5.3</c:v>
                </c:pt>
                <c:pt idx="3">
                  <c:v>5.0999999999999996</c:v>
                </c:pt>
                <c:pt idx="4">
                  <c:v>6.6</c:v>
                </c:pt>
                <c:pt idx="5">
                  <c:v>8.4</c:v>
                </c:pt>
                <c:pt idx="6">
                  <c:v>10.199999999999999</c:v>
                </c:pt>
                <c:pt idx="7">
                  <c:v>11</c:v>
                </c:pt>
                <c:pt idx="8">
                  <c:v>10.1</c:v>
                </c:pt>
                <c:pt idx="9">
                  <c:v>10.199999999999999</c:v>
                </c:pt>
                <c:pt idx="10">
                  <c:v>6.6</c:v>
                </c:pt>
                <c:pt idx="11">
                  <c:v>4.5999999999999996</c:v>
                </c:pt>
              </c:numCache>
            </c:numRef>
          </c:val>
        </c:ser>
        <c:dLbls>
          <c:showLegendKey val="0"/>
          <c:showVal val="0"/>
          <c:showCatName val="0"/>
          <c:showSerName val="0"/>
          <c:showPercent val="0"/>
          <c:showBubbleSize val="0"/>
        </c:dLbls>
        <c:gapWidth val="219"/>
        <c:overlap val="-27"/>
        <c:axId val="218450176"/>
        <c:axId val="218451968"/>
      </c:barChart>
      <c:catAx>
        <c:axId val="218450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18451968"/>
        <c:crosses val="autoZero"/>
        <c:auto val="1"/>
        <c:lblAlgn val="ctr"/>
        <c:lblOffset val="100"/>
        <c:noMultiLvlLbl val="0"/>
      </c:catAx>
      <c:valAx>
        <c:axId val="218451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18450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00" b="1">
                <a:effectLst/>
                <a:latin typeface="+mn-lt"/>
              </a:rPr>
              <a:t>Percentage of Youth unemployment rate by sex</a:t>
            </a:r>
          </a:p>
        </c:rich>
      </c:tx>
      <c:overlay val="0"/>
      <c:spPr>
        <a:noFill/>
        <a:ln>
          <a:noFill/>
        </a:ln>
        <a:effectLst/>
      </c:spPr>
    </c:title>
    <c:autoTitleDeleted val="0"/>
    <c:plotArea>
      <c:layout/>
      <c:barChart>
        <c:barDir val="col"/>
        <c:grouping val="clustered"/>
        <c:varyColors val="0"/>
        <c:ser>
          <c:idx val="0"/>
          <c:order val="0"/>
          <c:tx>
            <c:strRef>
              <c:f>Sheet1!$C$19</c:f>
              <c:strCache>
                <c:ptCount val="1"/>
                <c:pt idx="0">
                  <c:v>total</c:v>
                </c:pt>
              </c:strCache>
            </c:strRef>
          </c:tx>
          <c:spPr>
            <a:solidFill>
              <a:schemeClr val="accent1"/>
            </a:solidFill>
            <a:ln>
              <a:noFill/>
            </a:ln>
            <a:effectLst/>
          </c:spPr>
          <c:invertIfNegative val="0"/>
          <c:cat>
            <c:numRef>
              <c:f>Sheet1!$B$20:$B$30</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Sheet1!$C$20:$C$30</c:f>
              <c:numCache>
                <c:formatCode>General</c:formatCode>
                <c:ptCount val="11"/>
                <c:pt idx="0">
                  <c:v>25.4</c:v>
                </c:pt>
                <c:pt idx="1">
                  <c:v>23.6</c:v>
                </c:pt>
                <c:pt idx="2">
                  <c:v>25.4</c:v>
                </c:pt>
                <c:pt idx="3">
                  <c:v>32.299999999999997</c:v>
                </c:pt>
                <c:pt idx="4">
                  <c:v>36.6</c:v>
                </c:pt>
                <c:pt idx="5">
                  <c:v>42.2</c:v>
                </c:pt>
                <c:pt idx="6">
                  <c:v>49.9</c:v>
                </c:pt>
                <c:pt idx="7">
                  <c:v>44.9</c:v>
                </c:pt>
                <c:pt idx="8">
                  <c:v>43.3</c:v>
                </c:pt>
                <c:pt idx="9">
                  <c:v>31.8</c:v>
                </c:pt>
                <c:pt idx="10">
                  <c:v>27</c:v>
                </c:pt>
              </c:numCache>
            </c:numRef>
          </c:val>
        </c:ser>
        <c:ser>
          <c:idx val="1"/>
          <c:order val="1"/>
          <c:tx>
            <c:strRef>
              <c:f>Sheet1!$D$19</c:f>
              <c:strCache>
                <c:ptCount val="1"/>
                <c:pt idx="0">
                  <c:v>females</c:v>
                </c:pt>
              </c:strCache>
            </c:strRef>
          </c:tx>
          <c:spPr>
            <a:solidFill>
              <a:schemeClr val="accent2"/>
            </a:solidFill>
            <a:ln>
              <a:noFill/>
            </a:ln>
            <a:effectLst/>
          </c:spPr>
          <c:invertIfNegative val="0"/>
          <c:cat>
            <c:numRef>
              <c:f>Sheet1!$B$20:$B$30</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Sheet1!$D$20:$D$30</c:f>
              <c:numCache>
                <c:formatCode>General</c:formatCode>
                <c:ptCount val="11"/>
                <c:pt idx="0">
                  <c:v>29.2</c:v>
                </c:pt>
                <c:pt idx="1">
                  <c:v>28</c:v>
                </c:pt>
                <c:pt idx="2">
                  <c:v>27.8</c:v>
                </c:pt>
                <c:pt idx="3">
                  <c:v>33.1</c:v>
                </c:pt>
                <c:pt idx="4">
                  <c:v>36.299999999999997</c:v>
                </c:pt>
                <c:pt idx="5">
                  <c:v>42.2</c:v>
                </c:pt>
                <c:pt idx="6">
                  <c:v>50.4</c:v>
                </c:pt>
                <c:pt idx="7">
                  <c:v>45.5</c:v>
                </c:pt>
                <c:pt idx="8">
                  <c:v>43.5</c:v>
                </c:pt>
                <c:pt idx="9">
                  <c:v>32.200000000000003</c:v>
                </c:pt>
                <c:pt idx="10">
                  <c:v>27.4</c:v>
                </c:pt>
              </c:numCache>
            </c:numRef>
          </c:val>
        </c:ser>
        <c:ser>
          <c:idx val="2"/>
          <c:order val="2"/>
          <c:tx>
            <c:strRef>
              <c:f>Sheet1!$E$19</c:f>
              <c:strCache>
                <c:ptCount val="1"/>
                <c:pt idx="0">
                  <c:v>males</c:v>
                </c:pt>
              </c:strCache>
            </c:strRef>
          </c:tx>
          <c:spPr>
            <a:solidFill>
              <a:schemeClr val="accent3"/>
            </a:solidFill>
            <a:ln>
              <a:noFill/>
            </a:ln>
            <a:effectLst/>
          </c:spPr>
          <c:invertIfNegative val="0"/>
          <c:cat>
            <c:numRef>
              <c:f>Sheet1!$B$20:$B$30</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Sheet1!$E$20:$E$30</c:f>
              <c:numCache>
                <c:formatCode>General</c:formatCode>
                <c:ptCount val="11"/>
                <c:pt idx="0">
                  <c:v>22.6</c:v>
                </c:pt>
                <c:pt idx="1">
                  <c:v>20.7</c:v>
                </c:pt>
                <c:pt idx="2">
                  <c:v>23.8</c:v>
                </c:pt>
                <c:pt idx="3">
                  <c:v>31.8</c:v>
                </c:pt>
                <c:pt idx="4">
                  <c:v>36.700000000000003</c:v>
                </c:pt>
                <c:pt idx="5">
                  <c:v>42.2</c:v>
                </c:pt>
                <c:pt idx="6">
                  <c:v>49.5</c:v>
                </c:pt>
                <c:pt idx="7">
                  <c:v>44.5</c:v>
                </c:pt>
                <c:pt idx="8">
                  <c:v>41.5</c:v>
                </c:pt>
                <c:pt idx="9">
                  <c:v>31.4</c:v>
                </c:pt>
                <c:pt idx="10">
                  <c:v>26.6</c:v>
                </c:pt>
              </c:numCache>
            </c:numRef>
          </c:val>
        </c:ser>
        <c:dLbls>
          <c:showLegendKey val="0"/>
          <c:showVal val="0"/>
          <c:showCatName val="0"/>
          <c:showSerName val="0"/>
          <c:showPercent val="0"/>
          <c:showBubbleSize val="0"/>
        </c:dLbls>
        <c:gapWidth val="219"/>
        <c:overlap val="-27"/>
        <c:axId val="218485888"/>
        <c:axId val="218487424"/>
      </c:barChart>
      <c:catAx>
        <c:axId val="218485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18487424"/>
        <c:crosses val="autoZero"/>
        <c:auto val="1"/>
        <c:lblAlgn val="ctr"/>
        <c:lblOffset val="100"/>
        <c:noMultiLvlLbl val="0"/>
      </c:catAx>
      <c:valAx>
        <c:axId val="218487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18485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theme/theme1.xml><?xml version="1.0" encoding="utf-8"?>
<a:theme xmlns:a="http://schemas.openxmlformats.org/drawingml/2006/main" name="Tema sustava Office">
  <a:themeElements>
    <a:clrScheme name="Tema sustava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sustava Office">
      <a:majorFont>
        <a:latin typeface="Helvetica"/>
        <a:ea typeface="Helvetica"/>
        <a:cs typeface="Helvetica"/>
      </a:majorFont>
      <a:minorFont>
        <a:latin typeface="Helvetica"/>
        <a:ea typeface="Helvetica"/>
        <a:cs typeface="Helvetica"/>
      </a:minorFont>
    </a:fontScheme>
    <a:fmtScheme name="Tema sustava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zbornica</dc:creator>
  <cp:lastModifiedBy>Marko Tardelli</cp:lastModifiedBy>
  <cp:revision>8</cp:revision>
  <dcterms:created xsi:type="dcterms:W3CDTF">2018-04-27T12:21:00Z</dcterms:created>
  <dcterms:modified xsi:type="dcterms:W3CDTF">2018-04-29T13:51:00Z</dcterms:modified>
</cp:coreProperties>
</file>