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85091B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85091B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792799" w:rsidRDefault="00A86CD5" w:rsidP="00792799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85091B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85091B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85091B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5b97a5" strokecolor="#5b97a5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D46CA8" w:rsidRPr="00D46CA8" w:rsidRDefault="00D46CA8" w:rsidP="00D46CA8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D46CA8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6. Clean Water and Snitation</w:t>
                  </w:r>
                </w:p>
                <w:p w:rsidR="00FB4074" w:rsidRPr="00A86CD5" w:rsidRDefault="00FB4074" w:rsidP="00D46CA8">
                  <w:pPr>
                    <w:keepNext/>
                    <w:spacing w:after="0"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85091B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548dd4 [1951]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85091B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548dd4 [1951]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85091B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548dd4 [1951]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85091B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548dd4 [1951]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85091B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548dd4 [1951]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85091B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548dd4 [1951]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B4" w:rsidRDefault="008E52B4" w:rsidP="00A0209A">
      <w:pPr>
        <w:spacing w:after="0" w:line="240" w:lineRule="auto"/>
      </w:pPr>
      <w:r>
        <w:separator/>
      </w:r>
    </w:p>
  </w:endnote>
  <w:endnote w:type="continuationSeparator" w:id="1">
    <w:p w:rsidR="008E52B4" w:rsidRDefault="008E52B4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B4" w:rsidRDefault="008E52B4" w:rsidP="00A0209A">
      <w:pPr>
        <w:spacing w:after="0" w:line="240" w:lineRule="auto"/>
      </w:pPr>
      <w:r>
        <w:separator/>
      </w:r>
    </w:p>
  </w:footnote>
  <w:footnote w:type="continuationSeparator" w:id="1">
    <w:p w:rsidR="008E52B4" w:rsidRDefault="008E52B4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091B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E52B4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46CA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2021-02-16T10:29:00Z</dcterms:modified>
</cp:coreProperties>
</file>