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60" w:type="dxa"/>
        <w:tblLayout w:type="fixed"/>
        <w:tblLook w:val="0000" w:firstRow="0" w:lastRow="0" w:firstColumn="0" w:lastColumn="0" w:noHBand="0" w:noVBand="0"/>
      </w:tblPr>
      <w:tblGrid>
        <w:gridCol w:w="1862"/>
        <w:gridCol w:w="2811"/>
        <w:gridCol w:w="11587"/>
      </w:tblGrid>
      <w:tr w:rsidR="008E13A5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A5" w:rsidRPr="00F4509D" w:rsidRDefault="008E13A5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pollution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5" w:rsidRDefault="008E13A5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>Zanieczyszczenie powietrza</w:t>
            </w:r>
          </w:p>
          <w:p w:rsidR="00F4509D" w:rsidRPr="00F4509D" w:rsidRDefault="00F4509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A5" w:rsidRPr="00F4509D" w:rsidRDefault="008E13A5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presence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introduction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substance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which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has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harmful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poisonous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effects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Fossil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fuel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Paliwo kopalne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natural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fuel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coal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gas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formed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geological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past from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remains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organisms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Środki chemiczne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distinct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compound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substance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especially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one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which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has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been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artificially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prepared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purified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>Exhaust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Spaliny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Waste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gases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expelled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engine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turbine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machine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operation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Power plant /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 xml:space="preserve">Elektrownia 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installation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where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electrical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generated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distribution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Fume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Opary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amount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gas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vapour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smells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strongly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dangerous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inhale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Dust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Kurz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Fine,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dry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powder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consisting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tiny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particles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earth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waste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matter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lying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ground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surfaces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carried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Particle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Cząstka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numerous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subatomic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constituents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physical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interact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each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including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electrons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neutrinos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photons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alpha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particles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Sunset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Zachód słońca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Dusk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the moment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each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day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goes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below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the western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horizon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and we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can't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see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North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Star (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Polaris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Gwiazda polarna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bright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star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seen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sky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northern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parts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look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directly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toward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north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>Planet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Planeta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large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body in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outer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space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circles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around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another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star.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Mercury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Venus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Earth, Mars, Jupiter, Saturn,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Uranus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Neptune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and Pluto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planets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our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solar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>Moon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Księżyc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large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round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object 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circles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around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a planet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the Earth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pollution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Zanieczyszczenie światłem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cities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vehicles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etc.,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makes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difficult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see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things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sky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stars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night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>Star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Gwiazda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Objects in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space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look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like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points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night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sky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visible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from the Earth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Longitude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Długość geograficzna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distance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earth's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surface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east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west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imaginary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globe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goes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north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pole to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south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pole and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passes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through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Greenwich, England. 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Latitude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Szerokość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distance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between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equator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and a point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north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south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earth's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surface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Sky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Niebo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space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over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the Earth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where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moon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stars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clouds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appear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Czynnik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One of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things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cause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something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happen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Atmosphere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Atmosfera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whole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mass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surrounds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Eart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Harmful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Szkodliwy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Causing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likely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cause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harm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dangerous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Środowisko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things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together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surround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animals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humans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natural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Causes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Przyczyny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Something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someone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produces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effect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result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, 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something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someone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makes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something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happen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exist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lastRenderedPageBreak/>
              <w:t>Dust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Kurz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Tiny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dry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pieces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soil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dirt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Factory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Fabryka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set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buildings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where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products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made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machines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>Chemicals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Środki chemiczne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substance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made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by a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process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Particle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Cząstka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Electron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proton,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something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smaller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atom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>Natural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Naturalny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Existing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nature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and not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made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caused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Coming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nature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. Not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having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extra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substances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chemicals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added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not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containing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anything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artificial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Release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Wydanie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let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go, to set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free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somebody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something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Car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exhaust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Spaliny samochodowe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smoke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gas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given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off by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engine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Gasoline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Benzyna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liquid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made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petroleum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especially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as a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fuel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engines</w:t>
            </w:r>
            <w:proofErr w:type="spellEnd"/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Decrease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Zmniejszać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become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smaller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size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amount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, etc.</w:t>
            </w:r>
          </w:p>
        </w:tc>
      </w:tr>
      <w:tr w:rsidR="000B174C" w:rsidRPr="00F4509D" w:rsidTr="008E13A5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Increase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Zwiększać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become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larger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greater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size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amount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, etc.</w:t>
            </w:r>
          </w:p>
        </w:tc>
      </w:tr>
      <w:tr w:rsidR="000B174C" w:rsidRPr="00F4509D" w:rsidTr="008E13A5"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>Smog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4C" w:rsidRPr="00F4509D" w:rsidRDefault="000B174C" w:rsidP="00ED161B">
            <w:pPr>
              <w:pStyle w:val="ind"/>
              <w:shd w:val="clear" w:color="auto" w:fill="F8F9FA"/>
              <w:spacing w:line="420" w:lineRule="atLeast"/>
              <w:rPr>
                <w:rFonts w:ascii="Arial" w:hAnsi="Arial" w:cs="Arial"/>
                <w:color w:val="3C4043"/>
                <w:sz w:val="20"/>
                <w:szCs w:val="20"/>
              </w:rPr>
            </w:pPr>
            <w:r w:rsidRPr="00F4509D">
              <w:rPr>
                <w:rFonts w:ascii="Arial" w:hAnsi="Arial" w:cs="Arial"/>
                <w:color w:val="3C4043"/>
                <w:sz w:val="20"/>
                <w:szCs w:val="20"/>
              </w:rPr>
              <w:t>Smog</w:t>
            </w:r>
          </w:p>
        </w:tc>
        <w:tc>
          <w:tcPr>
            <w:tcW w:w="1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4C" w:rsidRPr="00F4509D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severe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pollution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E13A5" w:rsidRPr="00F4509D" w:rsidTr="008E13A5"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A5" w:rsidRPr="00F4509D" w:rsidRDefault="008E13A5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rain</w:t>
            </w:r>
            <w:proofErr w:type="spellEnd"/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A5" w:rsidRDefault="000B174C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4509D">
              <w:rPr>
                <w:rFonts w:ascii="Arial" w:hAnsi="Arial" w:cs="Arial"/>
                <w:sz w:val="20"/>
                <w:szCs w:val="20"/>
              </w:rPr>
              <w:t>Kwaśny deszcz</w:t>
            </w:r>
          </w:p>
          <w:p w:rsidR="00F4509D" w:rsidRPr="00F4509D" w:rsidRDefault="00F4509D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A5" w:rsidRPr="00F4509D" w:rsidRDefault="008E13A5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Rain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form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precipitation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unusually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meaning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has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elevated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levels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hydrogen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ions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509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F4509D">
              <w:rPr>
                <w:rFonts w:ascii="Arial" w:hAnsi="Arial" w:cs="Arial"/>
                <w:sz w:val="20"/>
                <w:szCs w:val="20"/>
              </w:rPr>
              <w:t>)</w:t>
            </w:r>
            <w:r w:rsidRPr="00F4509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D70D82" w:rsidRPr="00F4509D" w:rsidRDefault="00D70D82">
      <w:pPr>
        <w:rPr>
          <w:rFonts w:ascii="Arial" w:hAnsi="Arial" w:cs="Arial"/>
          <w:sz w:val="20"/>
          <w:szCs w:val="20"/>
        </w:rPr>
      </w:pPr>
    </w:p>
    <w:sectPr w:rsidR="00D70D82" w:rsidRPr="00F4509D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5"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F3"/>
    <w:rsid w:val="000B174C"/>
    <w:rsid w:val="002C300D"/>
    <w:rsid w:val="0040404E"/>
    <w:rsid w:val="00861976"/>
    <w:rsid w:val="008E13A5"/>
    <w:rsid w:val="00D70D82"/>
    <w:rsid w:val="00E374F3"/>
    <w:rsid w:val="00F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EF592C0"/>
  <w15:chartTrackingRefBased/>
  <w15:docId w15:val="{3FAF9ACA-42C7-1249-8EB1-A7A3C7ED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4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ind">
    <w:name w:val="ind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pt-PT"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wojdyla333@gmail.com</cp:lastModifiedBy>
  <cp:revision>6</cp:revision>
  <cp:lastPrinted>1899-12-31T23:00:00Z</cp:lastPrinted>
  <dcterms:created xsi:type="dcterms:W3CDTF">2019-11-10T11:59:00Z</dcterms:created>
  <dcterms:modified xsi:type="dcterms:W3CDTF">2019-11-10T12:06:00Z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