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3E" w:rsidRDefault="00310D3E" w:rsidP="0027173E">
      <w:pPr>
        <w:rPr>
          <w:b/>
          <w:lang w:val="lt-LT"/>
        </w:rPr>
      </w:pPr>
      <w:bookmarkStart w:id="0" w:name="_GoBack"/>
      <w:r w:rsidRPr="00310D3E">
        <w:rPr>
          <w:b/>
          <w:sz w:val="40"/>
          <w:szCs w:val="40"/>
          <w:lang w:val="lt-LT"/>
        </w:rPr>
        <w:t>BE ACTIVE , BE HAPPY</w:t>
      </w:r>
      <w:r>
        <w:rPr>
          <w:b/>
          <w:lang w:val="lt-LT"/>
        </w:rPr>
        <w:t xml:space="preserve">      </w:t>
      </w:r>
      <w:bookmarkEnd w:id="0"/>
      <w:r>
        <w:rPr>
          <w:b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92.25pt">
            <v:imagedata r:id="rId5" o:title="download"/>
          </v:shape>
        </w:pict>
      </w:r>
    </w:p>
    <w:p w:rsidR="0027173E" w:rsidRPr="0027173E" w:rsidRDefault="0027173E" w:rsidP="0027173E">
      <w:pPr>
        <w:rPr>
          <w:b/>
          <w:lang w:val="lt-LT"/>
        </w:rPr>
      </w:pPr>
      <w:r w:rsidRPr="0027173E">
        <w:rPr>
          <w:b/>
          <w:lang w:val="lt-LT"/>
        </w:rPr>
        <w:t>THE RESULTS OF SELF-EVALUATION SURVEY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survey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was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organised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two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r w:rsidR="00163134">
        <w:rPr>
          <w:lang w:val="lt-LT"/>
        </w:rPr>
        <w:t>s</w:t>
      </w:r>
      <w:proofErr w:type="spellEnd"/>
      <w:r w:rsidR="00163134">
        <w:rPr>
          <w:lang w:val="lt-LT"/>
        </w:rPr>
        <w:t xml:space="preserve">. 26 </w:t>
      </w:r>
      <w:proofErr w:type="spellStart"/>
      <w:r w:rsidR="00163134">
        <w:rPr>
          <w:lang w:val="lt-LT"/>
        </w:rPr>
        <w:t>respondents</w:t>
      </w:r>
      <w:proofErr w:type="spellEnd"/>
      <w:r w:rsidR="00163134">
        <w:rPr>
          <w:lang w:val="lt-LT"/>
        </w:rPr>
        <w:t xml:space="preserve"> </w:t>
      </w:r>
      <w:proofErr w:type="spellStart"/>
      <w:r w:rsidR="00163134">
        <w:rPr>
          <w:lang w:val="lt-LT"/>
        </w:rPr>
        <w:t>from</w:t>
      </w:r>
      <w:proofErr w:type="spellEnd"/>
      <w:r w:rsidR="00163134">
        <w:rPr>
          <w:lang w:val="lt-LT"/>
        </w:rPr>
        <w:t xml:space="preserve"> 10 to  16 </w:t>
      </w:r>
      <w:proofErr w:type="spellStart"/>
      <w:r w:rsidRPr="0027173E">
        <w:rPr>
          <w:lang w:val="lt-LT"/>
        </w:rPr>
        <w:t>years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old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took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part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survey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distribution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according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gender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seen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diagram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Some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took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part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only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survey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therefore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only</w:t>
      </w:r>
      <w:proofErr w:type="spellEnd"/>
      <w:r w:rsidRPr="0027173E">
        <w:rPr>
          <w:lang w:val="lt-LT"/>
        </w:rPr>
        <w:t xml:space="preserve"> 16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` </w:t>
      </w:r>
      <w:proofErr w:type="spellStart"/>
      <w:r w:rsidRPr="0027173E">
        <w:rPr>
          <w:lang w:val="lt-LT"/>
        </w:rPr>
        <w:t>questionnaires</w:t>
      </w:r>
      <w:proofErr w:type="spellEnd"/>
      <w:r w:rsidRPr="0027173E">
        <w:rPr>
          <w:lang w:val="lt-LT"/>
        </w:rPr>
        <w:t xml:space="preserve"> are </w:t>
      </w:r>
      <w:proofErr w:type="spellStart"/>
      <w:r w:rsidRPr="0027173E">
        <w:rPr>
          <w:lang w:val="lt-LT"/>
        </w:rPr>
        <w:t>used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comparison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.  </w:t>
      </w:r>
    </w:p>
    <w:p w:rsidR="0027173E" w:rsidRPr="0027173E" w:rsidRDefault="0027173E" w:rsidP="0027173E">
      <w:pPr>
        <w:rPr>
          <w:b/>
          <w:i/>
          <w:lang w:val="lt-LT"/>
        </w:rPr>
      </w:pPr>
      <w:r w:rsidRPr="0027173E">
        <w:rPr>
          <w:b/>
          <w:i/>
          <w:lang w:val="lt-LT"/>
        </w:rPr>
        <w:t xml:space="preserve">1 </w:t>
      </w:r>
      <w:proofErr w:type="spellStart"/>
      <w:r w:rsidRPr="0027173E">
        <w:rPr>
          <w:b/>
          <w:i/>
          <w:lang w:val="lt-LT"/>
        </w:rPr>
        <w:t>diagram</w:t>
      </w:r>
      <w:proofErr w:type="spellEnd"/>
      <w:r w:rsidRPr="0027173E">
        <w:rPr>
          <w:b/>
          <w:i/>
          <w:lang w:val="lt-LT"/>
        </w:rPr>
        <w:t xml:space="preserve">. </w:t>
      </w:r>
      <w:proofErr w:type="spellStart"/>
      <w:r w:rsidRPr="0027173E">
        <w:rPr>
          <w:b/>
          <w:i/>
          <w:lang w:val="lt-LT"/>
        </w:rPr>
        <w:t>The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distribution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of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respondents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according</w:t>
      </w:r>
      <w:proofErr w:type="spellEnd"/>
      <w:r w:rsidRPr="0027173E">
        <w:rPr>
          <w:b/>
          <w:i/>
          <w:lang w:val="lt-LT"/>
        </w:rPr>
        <w:t xml:space="preserve"> to </w:t>
      </w:r>
      <w:proofErr w:type="spellStart"/>
      <w:r w:rsidRPr="0027173E">
        <w:rPr>
          <w:b/>
          <w:i/>
          <w:lang w:val="lt-LT"/>
        </w:rPr>
        <w:t>gender</w:t>
      </w:r>
      <w:proofErr w:type="spellEnd"/>
      <w:r w:rsidRPr="0027173E">
        <w:rPr>
          <w:b/>
          <w:i/>
          <w:lang w:val="lt-LT"/>
        </w:rPr>
        <w:t>.</w:t>
      </w:r>
    </w:p>
    <w:p w:rsidR="0027173E" w:rsidRPr="0027173E" w:rsidRDefault="0027173E" w:rsidP="0027173E">
      <w:pPr>
        <w:rPr>
          <w:lang w:val="lt-LT"/>
        </w:rPr>
      </w:pPr>
      <w:r w:rsidRPr="0027173E">
        <w:rPr>
          <w:noProof/>
          <w:lang w:val="lt-LT" w:eastAsia="lt-LT"/>
        </w:rPr>
        <w:drawing>
          <wp:inline distT="0" distB="0" distL="0" distR="0">
            <wp:extent cx="3200400" cy="1476375"/>
            <wp:effectExtent l="0" t="0" r="0" b="0"/>
            <wp:docPr id="1" name="Diagra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>THE RESULTS OF THE FIRST SURVEY STAGE</w:t>
      </w: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separate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are </w:t>
      </w:r>
      <w:proofErr w:type="spellStart"/>
      <w:r w:rsidRPr="0027173E">
        <w:rPr>
          <w:lang w:val="lt-LT"/>
        </w:rPr>
        <w:t>presented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chart</w:t>
      </w:r>
      <w:proofErr w:type="spellEnd"/>
      <w:r w:rsidRPr="0027173E">
        <w:rPr>
          <w:lang w:val="lt-LT"/>
        </w:rPr>
        <w:t xml:space="preserve">. 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b/>
          <w:i/>
          <w:lang w:val="lt-LT"/>
        </w:rPr>
      </w:pPr>
      <w:r w:rsidRPr="0027173E">
        <w:rPr>
          <w:b/>
          <w:i/>
          <w:lang w:val="lt-LT"/>
        </w:rPr>
        <w:t xml:space="preserve">1 </w:t>
      </w:r>
      <w:proofErr w:type="spellStart"/>
      <w:r w:rsidRPr="0027173E">
        <w:rPr>
          <w:b/>
          <w:i/>
          <w:lang w:val="lt-LT"/>
        </w:rPr>
        <w:t>chart</w:t>
      </w:r>
      <w:proofErr w:type="spellEnd"/>
      <w:r w:rsidRPr="0027173E">
        <w:rPr>
          <w:b/>
          <w:i/>
          <w:lang w:val="lt-LT"/>
        </w:rPr>
        <w:t xml:space="preserve">. </w:t>
      </w:r>
      <w:proofErr w:type="spellStart"/>
      <w:r w:rsidRPr="0027173E">
        <w:rPr>
          <w:b/>
          <w:i/>
          <w:lang w:val="lt-LT"/>
        </w:rPr>
        <w:t>The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first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stage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results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of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separate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questions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06"/>
        <w:gridCol w:w="841"/>
        <w:gridCol w:w="754"/>
        <w:gridCol w:w="1010"/>
        <w:gridCol w:w="989"/>
        <w:gridCol w:w="1978"/>
      </w:tblGrid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r w:rsidRPr="0027173E">
              <w:rPr>
                <w:b/>
                <w:lang w:val="lt-L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Question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The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number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of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respondents</w:t>
            </w:r>
            <w:proofErr w:type="spellEnd"/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that I’m a person of worth, at least on an equal plane with others.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that I have a number of good qualities.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10;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All in all, I‘m inclined to feel that I am a failure.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8;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am able to do things as well as most other people.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I do not have much to be proud 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take a positive attitude toward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On the whole, I am satisfied with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wish I could have more respect for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certainly feel useless at times.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14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At times I think I am no good at all.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</w:tbl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When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counting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were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attached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: 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– 4,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3,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 – 2, 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 -1.  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`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3,  5, 8, 9, 10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were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reversed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while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counting</w:t>
      </w:r>
      <w:proofErr w:type="spellEnd"/>
      <w:r w:rsidRPr="0027173E">
        <w:rPr>
          <w:lang w:val="lt-LT"/>
        </w:rPr>
        <w:t xml:space="preserve"> (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1,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2 etc.).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higher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higher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minimum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available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points-10,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maximum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available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– 40.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distributed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from</w:t>
      </w:r>
      <w:proofErr w:type="spellEnd"/>
      <w:r w:rsidRPr="0027173E">
        <w:rPr>
          <w:lang w:val="lt-LT"/>
        </w:rPr>
        <w:t xml:space="preserve"> 19 to 99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>.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>THE RESULTS OF THE SECOND  (REPEATED) SURVEY STAGE</w:t>
      </w: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separate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are </w:t>
      </w:r>
      <w:proofErr w:type="spellStart"/>
      <w:r w:rsidRPr="0027173E">
        <w:rPr>
          <w:lang w:val="lt-LT"/>
        </w:rPr>
        <w:t>presented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chart</w:t>
      </w:r>
      <w:proofErr w:type="spellEnd"/>
      <w:r w:rsidRPr="0027173E">
        <w:rPr>
          <w:lang w:val="lt-LT"/>
        </w:rPr>
        <w:t xml:space="preserve">. </w:t>
      </w:r>
    </w:p>
    <w:p w:rsidR="0027173E" w:rsidRDefault="0027173E" w:rsidP="0027173E">
      <w:pPr>
        <w:rPr>
          <w:lang w:val="lt-LT"/>
        </w:rPr>
      </w:pPr>
    </w:p>
    <w:p w:rsidR="0027173E" w:rsidRDefault="0027173E" w:rsidP="0027173E">
      <w:pPr>
        <w:rPr>
          <w:lang w:val="lt-LT"/>
        </w:rPr>
      </w:pPr>
    </w:p>
    <w:p w:rsidR="0027173E" w:rsidRDefault="0027173E" w:rsidP="0027173E">
      <w:pPr>
        <w:rPr>
          <w:lang w:val="lt-LT"/>
        </w:rPr>
      </w:pPr>
    </w:p>
    <w:p w:rsid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b/>
          <w:i/>
          <w:lang w:val="lt-LT"/>
        </w:rPr>
      </w:pPr>
      <w:r w:rsidRPr="0027173E">
        <w:rPr>
          <w:b/>
          <w:i/>
          <w:lang w:val="lt-LT"/>
        </w:rPr>
        <w:t xml:space="preserve">2 </w:t>
      </w:r>
      <w:proofErr w:type="spellStart"/>
      <w:r w:rsidRPr="0027173E">
        <w:rPr>
          <w:b/>
          <w:i/>
          <w:lang w:val="lt-LT"/>
        </w:rPr>
        <w:t>chart</w:t>
      </w:r>
      <w:proofErr w:type="spellEnd"/>
      <w:r w:rsidRPr="0027173E">
        <w:rPr>
          <w:b/>
          <w:i/>
          <w:lang w:val="lt-LT"/>
        </w:rPr>
        <w:t xml:space="preserve">. </w:t>
      </w:r>
      <w:proofErr w:type="spellStart"/>
      <w:r w:rsidRPr="0027173E">
        <w:rPr>
          <w:b/>
          <w:i/>
          <w:lang w:val="lt-LT"/>
        </w:rPr>
        <w:t>The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second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stage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results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of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separate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questions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06"/>
        <w:gridCol w:w="841"/>
        <w:gridCol w:w="754"/>
        <w:gridCol w:w="1010"/>
        <w:gridCol w:w="989"/>
        <w:gridCol w:w="1978"/>
      </w:tblGrid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r w:rsidRPr="0027173E">
              <w:rPr>
                <w:b/>
                <w:lang w:val="lt-LT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Question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</w:p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The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number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of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respondents</w:t>
            </w:r>
            <w:proofErr w:type="spellEnd"/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that I’m a person of worth, at least on an equal plane with others.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87%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that I have a number of good qualities.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All in all, I‘m inclined to feel that I am a failure.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am able to do things as well as most other people.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8;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feel I do not have much to be proud of.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take a positive attitude toward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On the whole, I am satisfied with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wish I could have more respect for myself.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8;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I certainly feel useless at times.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43%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lastRenderedPageBreak/>
              <w:t>16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3E" w:rsidRPr="0027173E" w:rsidRDefault="0027173E" w:rsidP="0027173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r w:rsidRPr="0027173E">
              <w:t>At times I think I am no good at all.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7;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15</w:t>
            </w:r>
          </w:p>
        </w:tc>
      </w:tr>
    </w:tbl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When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counting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were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attached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: 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– 4,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3,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 – 2, 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 -1.  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`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3,  5, 8, 9, 10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were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reversed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while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counting</w:t>
      </w:r>
      <w:proofErr w:type="spellEnd"/>
      <w:r w:rsidRPr="0027173E">
        <w:rPr>
          <w:lang w:val="lt-LT"/>
        </w:rPr>
        <w:t xml:space="preserve"> (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1,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 – 2 etc.).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higher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higher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minimum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available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points-10,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maximum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available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 xml:space="preserve"> – 40.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distributed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from</w:t>
      </w:r>
      <w:proofErr w:type="spellEnd"/>
      <w:r w:rsidRPr="0027173E">
        <w:rPr>
          <w:lang w:val="lt-LT"/>
        </w:rPr>
        <w:t xml:space="preserve"> 23 to 34 </w:t>
      </w:r>
      <w:proofErr w:type="spellStart"/>
      <w:r w:rsidRPr="0027173E">
        <w:rPr>
          <w:lang w:val="lt-LT"/>
        </w:rPr>
        <w:t>points</w:t>
      </w:r>
      <w:proofErr w:type="spellEnd"/>
      <w:r w:rsidRPr="0027173E">
        <w:rPr>
          <w:lang w:val="lt-LT"/>
        </w:rPr>
        <w:t>.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>THE COMPARISON OF THE FIRST AND SECOND(REPEATED) STAGES RESULTS OF SELF-EVALUATION SURVEY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averages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survey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do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not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differ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importantly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When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analysing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separate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, it </w:t>
      </w:r>
      <w:proofErr w:type="spellStart"/>
      <w:r w:rsidRPr="0027173E">
        <w:rPr>
          <w:lang w:val="lt-LT"/>
        </w:rPr>
        <w:t>is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defined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that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distribution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question</w:t>
      </w:r>
      <w:proofErr w:type="spellEnd"/>
      <w:r w:rsidRPr="0027173E">
        <w:rPr>
          <w:lang w:val="lt-LT"/>
        </w:rPr>
        <w:t xml:space="preserve"> ‚,I </w:t>
      </w:r>
      <w:proofErr w:type="spellStart"/>
      <w:r w:rsidRPr="0027173E">
        <w:rPr>
          <w:lang w:val="lt-LT"/>
        </w:rPr>
        <w:t>feel</w:t>
      </w:r>
      <w:proofErr w:type="spellEnd"/>
      <w:r w:rsidRPr="0027173E">
        <w:rPr>
          <w:lang w:val="lt-LT"/>
        </w:rPr>
        <w:t xml:space="preserve"> I </w:t>
      </w:r>
      <w:proofErr w:type="spellStart"/>
      <w:r w:rsidRPr="0027173E">
        <w:rPr>
          <w:lang w:val="lt-LT"/>
        </w:rPr>
        <w:t>do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not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have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much</w:t>
      </w:r>
      <w:proofErr w:type="spellEnd"/>
      <w:r w:rsidRPr="0027173E">
        <w:rPr>
          <w:lang w:val="lt-LT"/>
        </w:rPr>
        <w:t xml:space="preserve"> to be </w:t>
      </w:r>
      <w:proofErr w:type="spellStart"/>
      <w:r w:rsidRPr="0027173E">
        <w:rPr>
          <w:lang w:val="lt-LT"/>
        </w:rPr>
        <w:t>proud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differs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importantly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results</w:t>
      </w:r>
      <w:proofErr w:type="spellEnd"/>
      <w:r w:rsidRPr="0027173E">
        <w:rPr>
          <w:lang w:val="lt-LT"/>
        </w:rPr>
        <w:t xml:space="preserve"> are </w:t>
      </w:r>
      <w:proofErr w:type="spellStart"/>
      <w:r w:rsidRPr="0027173E">
        <w:rPr>
          <w:lang w:val="lt-LT"/>
        </w:rPr>
        <w:t>presented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third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chart</w:t>
      </w:r>
      <w:proofErr w:type="spellEnd"/>
      <w:r w:rsidRPr="0027173E">
        <w:rPr>
          <w:lang w:val="lt-LT"/>
        </w:rPr>
        <w:t>.</w:t>
      </w:r>
    </w:p>
    <w:p w:rsidR="0027173E" w:rsidRPr="0027173E" w:rsidRDefault="0027173E" w:rsidP="0027173E">
      <w:pPr>
        <w:rPr>
          <w:b/>
          <w:i/>
          <w:lang w:val="lt-LT"/>
        </w:rPr>
      </w:pPr>
    </w:p>
    <w:p w:rsidR="0027173E" w:rsidRPr="0027173E" w:rsidRDefault="0027173E" w:rsidP="0027173E">
      <w:pPr>
        <w:rPr>
          <w:b/>
          <w:i/>
          <w:lang w:val="lt-LT"/>
        </w:rPr>
      </w:pPr>
      <w:r w:rsidRPr="0027173E">
        <w:rPr>
          <w:b/>
          <w:i/>
          <w:lang w:val="lt-LT"/>
        </w:rPr>
        <w:t xml:space="preserve">3 </w:t>
      </w:r>
      <w:proofErr w:type="spellStart"/>
      <w:r w:rsidRPr="0027173E">
        <w:rPr>
          <w:b/>
          <w:i/>
          <w:lang w:val="lt-LT"/>
        </w:rPr>
        <w:t>chart</w:t>
      </w:r>
      <w:proofErr w:type="spellEnd"/>
      <w:r w:rsidRPr="0027173E">
        <w:rPr>
          <w:b/>
          <w:i/>
          <w:lang w:val="lt-LT"/>
        </w:rPr>
        <w:t>.</w:t>
      </w:r>
      <w:r w:rsidRPr="0027173E">
        <w:rPr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The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distribution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of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answers</w:t>
      </w:r>
      <w:proofErr w:type="spellEnd"/>
      <w:r w:rsidRPr="0027173E">
        <w:rPr>
          <w:b/>
          <w:i/>
          <w:lang w:val="lt-LT"/>
        </w:rPr>
        <w:t xml:space="preserve"> to </w:t>
      </w:r>
      <w:proofErr w:type="spellStart"/>
      <w:r w:rsidRPr="0027173E">
        <w:rPr>
          <w:b/>
          <w:i/>
          <w:lang w:val="lt-LT"/>
        </w:rPr>
        <w:t>question</w:t>
      </w:r>
      <w:proofErr w:type="spellEnd"/>
      <w:r w:rsidRPr="0027173E">
        <w:rPr>
          <w:b/>
          <w:i/>
          <w:lang w:val="lt-LT"/>
        </w:rPr>
        <w:t xml:space="preserve"> </w:t>
      </w:r>
      <w:proofErr w:type="spellStart"/>
      <w:r w:rsidRPr="0027173E">
        <w:rPr>
          <w:b/>
          <w:i/>
          <w:lang w:val="lt-LT"/>
        </w:rPr>
        <w:t>number</w:t>
      </w:r>
      <w:proofErr w:type="spellEnd"/>
      <w:r w:rsidRPr="0027173E">
        <w:rPr>
          <w:b/>
          <w:i/>
          <w:lang w:val="lt-LT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1403"/>
        <w:gridCol w:w="754"/>
        <w:gridCol w:w="1010"/>
        <w:gridCol w:w="1663"/>
      </w:tblGrid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r w:rsidRPr="0027173E">
              <w:rPr>
                <w:b/>
              </w:rPr>
              <w:t>I feel I do not have much to be proud of.</w:t>
            </w:r>
            <w:r w:rsidRPr="0027173E">
              <w:rPr>
                <w:b/>
                <w:lang w:val="lt-L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b/>
                <w:lang w:val="lt-LT"/>
              </w:rPr>
            </w:pPr>
            <w:proofErr w:type="spellStart"/>
            <w:r w:rsidRPr="0027173E">
              <w:rPr>
                <w:b/>
                <w:lang w:val="lt-LT"/>
              </w:rPr>
              <w:t>Totally</w:t>
            </w:r>
            <w:proofErr w:type="spellEnd"/>
            <w:r w:rsidRPr="0027173E">
              <w:rPr>
                <w:b/>
                <w:lang w:val="lt-LT"/>
              </w:rPr>
              <w:t xml:space="preserve"> </w:t>
            </w:r>
            <w:proofErr w:type="spellStart"/>
            <w:r w:rsidRPr="0027173E">
              <w:rPr>
                <w:b/>
                <w:lang w:val="lt-LT"/>
              </w:rPr>
              <w:t>disagree</w:t>
            </w:r>
            <w:proofErr w:type="spellEnd"/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 xml:space="preserve">1 </w:t>
            </w:r>
            <w:proofErr w:type="spellStart"/>
            <w:r w:rsidRPr="0027173E">
              <w:rPr>
                <w:lang w:val="lt-LT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4;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6%</w:t>
            </w:r>
          </w:p>
        </w:tc>
      </w:tr>
      <w:tr w:rsidR="0027173E" w:rsidRPr="0027173E" w:rsidTr="002717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 xml:space="preserve">2 </w:t>
            </w:r>
            <w:proofErr w:type="spellStart"/>
            <w:r w:rsidRPr="0027173E">
              <w:rPr>
                <w:lang w:val="lt-LT"/>
              </w:rPr>
              <w:t>stage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9;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56%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2;</w:t>
            </w:r>
          </w:p>
          <w:p w:rsidR="0027173E" w:rsidRPr="0027173E" w:rsidRDefault="0027173E" w:rsidP="0027173E">
            <w:pPr>
              <w:rPr>
                <w:lang w:val="lt-LT"/>
              </w:rPr>
            </w:pPr>
            <w:r w:rsidRPr="0027173E">
              <w:rPr>
                <w:lang w:val="lt-LT"/>
              </w:rPr>
              <w:t>13%</w:t>
            </w:r>
          </w:p>
        </w:tc>
      </w:tr>
    </w:tbl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As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can</w:t>
      </w:r>
      <w:proofErr w:type="spellEnd"/>
      <w:r w:rsidRPr="0027173E">
        <w:rPr>
          <w:lang w:val="lt-LT"/>
        </w:rPr>
        <w:t xml:space="preserve"> be </w:t>
      </w:r>
      <w:proofErr w:type="spellStart"/>
      <w:r w:rsidRPr="0027173E">
        <w:rPr>
          <w:lang w:val="lt-LT"/>
        </w:rPr>
        <w:t>seen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from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third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chart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 ,,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‚,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declined</w:t>
      </w:r>
      <w:proofErr w:type="spellEnd"/>
      <w:r w:rsidRPr="0027173E">
        <w:rPr>
          <w:lang w:val="lt-LT"/>
        </w:rPr>
        <w:t xml:space="preserve">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respondents</w:t>
      </w:r>
      <w:proofErr w:type="spellEnd"/>
      <w:r w:rsidRPr="0027173E">
        <w:rPr>
          <w:lang w:val="lt-LT"/>
        </w:rPr>
        <w:t xml:space="preserve"> ‚,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,,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increased</w:t>
      </w:r>
      <w:proofErr w:type="spellEnd"/>
      <w:r w:rsidRPr="0027173E">
        <w:rPr>
          <w:lang w:val="lt-LT"/>
        </w:rPr>
        <w:t>.</w:t>
      </w:r>
    </w:p>
    <w:p w:rsidR="0027173E" w:rsidRPr="0027173E" w:rsidRDefault="0027173E" w:rsidP="0027173E">
      <w:pPr>
        <w:rPr>
          <w:lang w:val="lt-LT"/>
        </w:rPr>
      </w:pPr>
      <w:r w:rsidRPr="0027173E">
        <w:rPr>
          <w:lang w:val="en"/>
        </w:rPr>
        <w:lastRenderedPageBreak/>
        <w:t>The consent of the question would lower self-evaluation, hence it can be stated that self-evaluation during the second stage was slightly higher. Differences in the responses to other questions in the first and second stages were statistically insignificant.</w:t>
      </w: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 xml:space="preserve"> </w:t>
      </w: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>CONCLUSIONS</w:t>
      </w:r>
    </w:p>
    <w:p w:rsidR="0027173E" w:rsidRPr="0027173E" w:rsidRDefault="0027173E" w:rsidP="0027173E">
      <w:pPr>
        <w:numPr>
          <w:ilvl w:val="0"/>
          <w:numId w:val="2"/>
        </w:numPr>
        <w:rPr>
          <w:lang w:val="lt-LT"/>
        </w:rPr>
      </w:pP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has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not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changed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while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comparing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results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. </w:t>
      </w:r>
    </w:p>
    <w:p w:rsidR="0027173E" w:rsidRPr="0027173E" w:rsidRDefault="0027173E" w:rsidP="0027173E">
      <w:pPr>
        <w:numPr>
          <w:ilvl w:val="0"/>
          <w:numId w:val="2"/>
        </w:num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distribution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answers</w:t>
      </w:r>
      <w:proofErr w:type="spellEnd"/>
      <w:r w:rsidRPr="0027173E">
        <w:rPr>
          <w:lang w:val="lt-LT"/>
        </w:rPr>
        <w:t xml:space="preserve"> to 5th </w:t>
      </w:r>
      <w:proofErr w:type="spellStart"/>
      <w:r w:rsidRPr="0027173E">
        <w:rPr>
          <w:lang w:val="lt-LT"/>
        </w:rPr>
        <w:t>question</w:t>
      </w:r>
      <w:proofErr w:type="spellEnd"/>
      <w:r w:rsidRPr="0027173E">
        <w:rPr>
          <w:lang w:val="lt-LT"/>
        </w:rPr>
        <w:t xml:space="preserve"> ,,I </w:t>
      </w:r>
      <w:proofErr w:type="spellStart"/>
      <w:r w:rsidRPr="0027173E">
        <w:rPr>
          <w:lang w:val="lt-LT"/>
        </w:rPr>
        <w:t>feel</w:t>
      </w:r>
      <w:proofErr w:type="spellEnd"/>
      <w:r w:rsidRPr="0027173E">
        <w:rPr>
          <w:lang w:val="lt-LT"/>
        </w:rPr>
        <w:t xml:space="preserve"> I </w:t>
      </w:r>
      <w:proofErr w:type="spellStart"/>
      <w:r w:rsidRPr="0027173E">
        <w:rPr>
          <w:lang w:val="lt-LT"/>
        </w:rPr>
        <w:t>do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not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have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much</w:t>
      </w:r>
      <w:proofErr w:type="spellEnd"/>
      <w:r w:rsidRPr="0027173E">
        <w:rPr>
          <w:lang w:val="lt-LT"/>
        </w:rPr>
        <w:t xml:space="preserve"> to be </w:t>
      </w:r>
      <w:proofErr w:type="spellStart"/>
      <w:r w:rsidRPr="0027173E">
        <w:rPr>
          <w:lang w:val="lt-LT"/>
        </w:rPr>
        <w:t>proud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differs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significantly</w:t>
      </w:r>
      <w:proofErr w:type="spellEnd"/>
      <w:r w:rsidRPr="0027173E">
        <w:rPr>
          <w:lang w:val="lt-LT"/>
        </w:rPr>
        <w:t xml:space="preserve">.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responses</w:t>
      </w:r>
      <w:proofErr w:type="spellEnd"/>
      <w:r w:rsidRPr="0027173E">
        <w:rPr>
          <w:lang w:val="lt-LT"/>
        </w:rPr>
        <w:t xml:space="preserve"> ‚,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,,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decreased</w:t>
      </w:r>
      <w:proofErr w:type="spellEnd"/>
      <w:r w:rsidRPr="0027173E">
        <w:rPr>
          <w:lang w:val="lt-LT"/>
        </w:rPr>
        <w:t xml:space="preserve"> ,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number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responses</w:t>
      </w:r>
      <w:proofErr w:type="spellEnd"/>
      <w:r w:rsidRPr="0027173E">
        <w:rPr>
          <w:lang w:val="lt-LT"/>
        </w:rPr>
        <w:t xml:space="preserve"> ,, </w:t>
      </w:r>
      <w:proofErr w:type="spellStart"/>
      <w:r w:rsidRPr="0027173E">
        <w:rPr>
          <w:lang w:val="lt-LT"/>
        </w:rPr>
        <w:t>disagree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,, </w:t>
      </w:r>
      <w:proofErr w:type="spellStart"/>
      <w:r w:rsidRPr="0027173E">
        <w:rPr>
          <w:lang w:val="lt-LT"/>
        </w:rPr>
        <w:t>totally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agree</w:t>
      </w:r>
      <w:proofErr w:type="spellEnd"/>
      <w:r w:rsidRPr="0027173E">
        <w:rPr>
          <w:lang w:val="lt-LT"/>
        </w:rPr>
        <w:t xml:space="preserve">‘‘ </w:t>
      </w:r>
      <w:proofErr w:type="spellStart"/>
      <w:r w:rsidRPr="0027173E">
        <w:rPr>
          <w:lang w:val="lt-LT"/>
        </w:rPr>
        <w:t>increased</w:t>
      </w:r>
      <w:proofErr w:type="spellEnd"/>
      <w:r w:rsidRPr="0027173E">
        <w:rPr>
          <w:lang w:val="lt-LT"/>
        </w:rPr>
        <w:t xml:space="preserve">. It </w:t>
      </w:r>
      <w:proofErr w:type="spellStart"/>
      <w:r w:rsidRPr="0027173E">
        <w:rPr>
          <w:lang w:val="lt-LT"/>
        </w:rPr>
        <w:t>can</w:t>
      </w:r>
      <w:proofErr w:type="spellEnd"/>
      <w:r w:rsidRPr="0027173E">
        <w:rPr>
          <w:lang w:val="lt-LT"/>
        </w:rPr>
        <w:t xml:space="preserve"> be </w:t>
      </w:r>
      <w:proofErr w:type="spellStart"/>
      <w:r w:rsidRPr="0027173E">
        <w:rPr>
          <w:lang w:val="lt-LT"/>
        </w:rPr>
        <w:t>stated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that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self-evaluation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during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became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slightly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higher</w:t>
      </w:r>
      <w:proofErr w:type="spellEnd"/>
      <w:r w:rsidRPr="0027173E">
        <w:rPr>
          <w:lang w:val="lt-LT"/>
        </w:rPr>
        <w:t xml:space="preserve">. </w:t>
      </w:r>
    </w:p>
    <w:p w:rsidR="0027173E" w:rsidRPr="0027173E" w:rsidRDefault="0027173E" w:rsidP="0027173E">
      <w:pPr>
        <w:numPr>
          <w:ilvl w:val="0"/>
          <w:numId w:val="2"/>
        </w:num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differences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responses</w:t>
      </w:r>
      <w:proofErr w:type="spellEnd"/>
      <w:r w:rsidRPr="0027173E">
        <w:rPr>
          <w:lang w:val="lt-LT"/>
        </w:rPr>
        <w:t xml:space="preserve"> to </w:t>
      </w:r>
      <w:proofErr w:type="spellStart"/>
      <w:r w:rsidRPr="0027173E">
        <w:rPr>
          <w:lang w:val="lt-LT"/>
        </w:rPr>
        <w:t>other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questions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first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second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stage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statistically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were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insignificant</w:t>
      </w:r>
      <w:proofErr w:type="spellEnd"/>
      <w:r w:rsidRPr="0027173E">
        <w:rPr>
          <w:lang w:val="lt-LT"/>
        </w:rPr>
        <w:t xml:space="preserve">.  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survey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was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summarized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by</w:t>
      </w:r>
      <w:proofErr w:type="spellEnd"/>
      <w:r w:rsidRPr="0027173E">
        <w:rPr>
          <w:lang w:val="lt-LT"/>
        </w:rPr>
        <w:t xml:space="preserve"> :</w:t>
      </w:r>
    </w:p>
    <w:p w:rsidR="0027173E" w:rsidRPr="0027173E" w:rsidRDefault="0027173E" w:rsidP="0027173E">
      <w:pPr>
        <w:rPr>
          <w:lang w:val="lt-LT"/>
        </w:rPr>
      </w:pPr>
    </w:p>
    <w:p w:rsidR="0027173E" w:rsidRPr="0027173E" w:rsidRDefault="0027173E" w:rsidP="0027173E">
      <w:pPr>
        <w:rPr>
          <w:lang w:val="lt-LT"/>
        </w:rPr>
      </w:pP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psychologist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Marijampole „Ryto“ </w:t>
      </w:r>
      <w:proofErr w:type="spellStart"/>
      <w:r w:rsidRPr="0027173E">
        <w:rPr>
          <w:lang w:val="lt-LT"/>
        </w:rPr>
        <w:t>basic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school</w:t>
      </w:r>
      <w:proofErr w:type="spellEnd"/>
      <w:r w:rsidRPr="0027173E">
        <w:rPr>
          <w:lang w:val="lt-LT"/>
        </w:rPr>
        <w:t xml:space="preserve"> Ugnė </w:t>
      </w:r>
      <w:proofErr w:type="spellStart"/>
      <w:r w:rsidRPr="0027173E">
        <w:rPr>
          <w:lang w:val="lt-LT"/>
        </w:rPr>
        <w:t>Lengvinaitė</w:t>
      </w:r>
      <w:proofErr w:type="spellEnd"/>
      <w:r w:rsidRPr="0027173E">
        <w:rPr>
          <w:lang w:val="lt-LT"/>
        </w:rPr>
        <w:t>-Žemaitienė</w:t>
      </w:r>
    </w:p>
    <w:p w:rsidR="0027173E" w:rsidRPr="0027173E" w:rsidRDefault="0027173E" w:rsidP="0027173E">
      <w:pPr>
        <w:rPr>
          <w:lang w:val="lt-LT"/>
        </w:rPr>
      </w:pPr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the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psychologist</w:t>
      </w:r>
      <w:proofErr w:type="spellEnd"/>
      <w:r w:rsidRPr="0027173E">
        <w:rPr>
          <w:lang w:val="lt-LT"/>
        </w:rPr>
        <w:t xml:space="preserve">  </w:t>
      </w:r>
      <w:proofErr w:type="spellStart"/>
      <w:r w:rsidRPr="0027173E">
        <w:rPr>
          <w:lang w:val="lt-LT"/>
        </w:rPr>
        <w:t>and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lector</w:t>
      </w:r>
      <w:proofErr w:type="spellEnd"/>
      <w:r w:rsidRPr="0027173E">
        <w:rPr>
          <w:lang w:val="lt-LT"/>
        </w:rPr>
        <w:t xml:space="preserve"> </w:t>
      </w:r>
      <w:proofErr w:type="spellStart"/>
      <w:r w:rsidRPr="0027173E">
        <w:rPr>
          <w:lang w:val="lt-LT"/>
        </w:rPr>
        <w:t>of</w:t>
      </w:r>
      <w:proofErr w:type="spellEnd"/>
      <w:r w:rsidRPr="0027173E">
        <w:rPr>
          <w:lang w:val="lt-LT"/>
        </w:rPr>
        <w:t xml:space="preserve"> Marijampole </w:t>
      </w:r>
      <w:proofErr w:type="spellStart"/>
      <w:r w:rsidRPr="0027173E">
        <w:rPr>
          <w:lang w:val="lt-LT"/>
        </w:rPr>
        <w:t>college</w:t>
      </w:r>
      <w:proofErr w:type="spellEnd"/>
      <w:r w:rsidRPr="0027173E">
        <w:rPr>
          <w:lang w:val="lt-LT"/>
        </w:rPr>
        <w:t xml:space="preserve"> Rima </w:t>
      </w:r>
      <w:proofErr w:type="spellStart"/>
      <w:r w:rsidRPr="0027173E">
        <w:rPr>
          <w:lang w:val="lt-LT"/>
        </w:rPr>
        <w:t>Klasavičienė</w:t>
      </w:r>
      <w:proofErr w:type="spellEnd"/>
    </w:p>
    <w:p w:rsidR="009065ED" w:rsidRPr="0027173E" w:rsidRDefault="009065ED">
      <w:pPr>
        <w:rPr>
          <w:lang w:val="lt-LT"/>
        </w:rPr>
      </w:pPr>
    </w:p>
    <w:sectPr w:rsidR="009065ED" w:rsidRPr="0027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86DC4"/>
    <w:multiLevelType w:val="hybridMultilevel"/>
    <w:tmpl w:val="C9148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15E24"/>
    <w:multiLevelType w:val="hybridMultilevel"/>
    <w:tmpl w:val="7B9A64E4"/>
    <w:lvl w:ilvl="0" w:tplc="DA08E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E"/>
    <w:rsid w:val="00163134"/>
    <w:rsid w:val="0027173E"/>
    <w:rsid w:val="00310D3E"/>
    <w:rsid w:val="0090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5AB3"/>
  <w15:docId w15:val="{16AE1341-193F-4570-8DC0-B3375D21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1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darbalapis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2453987730062E-3"/>
          <c:y val="0.13793103448275862"/>
          <c:w val="0.96932515337423308"/>
          <c:h val="0.8689655172413792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Rytai</c:v>
                </c:pt>
              </c:strCache>
            </c:strRef>
          </c:tx>
          <c:spPr>
            <a:solidFill>
              <a:srgbClr val="9999FF"/>
            </a:solidFill>
            <a:ln w="952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A003-49AB-868B-B9D0BF326C6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952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A003-49AB-868B-B9D0BF326C6D}"/>
              </c:ext>
            </c:extLst>
          </c:dPt>
          <c:dLbls>
            <c:dLbl>
              <c:idx val="0"/>
              <c:layout>
                <c:manualLayout>
                  <c:x val="-0.20374866101859959"/>
                  <c:y val="-0.1009742992359547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003-49AB-868B-B9D0BF326C6D}"/>
                </c:ext>
              </c:extLst>
            </c:dLbl>
            <c:dLbl>
              <c:idx val="1"/>
              <c:layout>
                <c:manualLayout>
                  <c:x val="0.17791411042944785"/>
                  <c:y val="-0.3003480682823435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003-49AB-868B-B9D0BF326C6D}"/>
                </c:ext>
              </c:extLst>
            </c:dLbl>
            <c:numFmt formatCode="0%" sourceLinked="0"/>
            <c:spPr>
              <a:noFill/>
              <a:ln w="19046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7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003-49AB-868B-B9D0BF326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9046">
          <a:noFill/>
        </a:ln>
      </c:spPr>
    </c:plotArea>
    <c:legend>
      <c:legendPos val="r"/>
      <c:layout>
        <c:manualLayout>
          <c:xMode val="edge"/>
          <c:yMode val="edge"/>
          <c:x val="0.39570552147239263"/>
          <c:y val="0"/>
          <c:w val="0.20858895705521471"/>
          <c:h val="0.29655172413793102"/>
        </c:manualLayout>
      </c:layout>
      <c:overlay val="0"/>
      <c:spPr>
        <a:noFill/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69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lt-LT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lt-LT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0.4995</cdr:x>
      <cdr:y>0.49675</cdr:y>
    </cdr:from>
    <cdr:to>
      <cdr:x>0.50575</cdr:x>
      <cdr:y>0.60025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51022" y="686074"/>
          <a:ext cx="19408" cy="1429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3429</Words>
  <Characters>1955</Characters>
  <Application>Microsoft Office Word</Application>
  <DocSecurity>0</DocSecurity>
  <Lines>16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Ramunes</dc:creator>
  <cp:lastModifiedBy>„Windows“ vartotojas</cp:lastModifiedBy>
  <cp:revision>5</cp:revision>
  <dcterms:created xsi:type="dcterms:W3CDTF">2012-03-02T07:27:00Z</dcterms:created>
  <dcterms:modified xsi:type="dcterms:W3CDTF">2019-03-06T09:33:00Z</dcterms:modified>
</cp:coreProperties>
</file>