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E 1 - Participantes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Aproximadamente, ¿cuántas personas se beneficiarán indirectamente del proyecto o van a ser objetivo de las actividades organizadas? (Es decir, participantes para los cuales no se prevé una subvención específica, tales como los participantes locales en eventos multiplicadores, otros tipos de eventos,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Describa brevemente cómo y en qué actividades estarán implicadas estas personas.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Como ya se ha especificado, los beneficiarios del proyecto serán muchísimos y pertenecerán a diferentes ámbitos: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1. en primer lugar, todos los estudiantes de los centros asociados, que no participarán directamente en las movilidades ni en las actividades previstas para el desarrollo del proyecto, pero que sí beneficiarán del proyecto en términos de implicación en las actividades del centro, renovación del clima educativo, general mejora de las relaciones y de las metodologías didácticas.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2. los profesores de los centros: los  que colaborarán de manera menos intensa en las actividades, pero que sí siempre estarán al tanto de las actividades y podrán compartirlas con los demás compañeros de departamento, difundirlas en sus clases y beneficiar de un clima educativo renovado.</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3. la administración escolar en su conjunto: no solo el clima general del centro se verá mejorado por las actividades que se llevarán a cabo en los dos años de vida del proyecto, sino que también podrá beneficiar de metodologías educativas novedosas compartidas con los demás centros, formando de esta manera una red de centros europeos realmente innovadores.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4. la comunidad local a la que siempre se mantendrá informada del proyecto a través de específicas acciones de información (página web del proyecto, radio y prensa locales, organismos oficiales, oficinas educativas regionales,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Participantes con menos oportunidades: ¿hay en su proyecto personas que se enfrentan a situaciones que puedan dificultar su participación?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sì</w:t>
      </w:r>
    </w:p>
    <w:p w:rsidR="00000000" w:rsidDel="00000000" w:rsidP="00000000" w:rsidRDefault="00000000" w:rsidRPr="00000000">
      <w:pPr>
        <w:contextualSpacing w:val="0"/>
      </w:pPr>
      <w:r w:rsidDel="00000000" w:rsidR="00000000" w:rsidRPr="00000000">
        <w:rPr>
          <w:rtl w:val="0"/>
        </w:rPr>
        <w:t xml:space="preserve">500</w:t>
      </w:r>
    </w:p>
    <w:p w:rsidR="00000000" w:rsidDel="00000000" w:rsidP="00000000" w:rsidRDefault="00000000" w:rsidRPr="00000000">
      <w:pPr>
        <w:contextualSpacing w:val="0"/>
      </w:pPr>
      <w:r w:rsidDel="00000000" w:rsidR="00000000" w:rsidRPr="00000000">
        <w:rPr>
          <w:rtl w:val="0"/>
        </w:rPr>
        <w:t xml:space="preserve">Dificultades educativas</w:t>
      </w:r>
    </w:p>
    <w:p w:rsidR="00000000" w:rsidDel="00000000" w:rsidP="00000000" w:rsidRDefault="00000000" w:rsidRPr="00000000">
      <w:pPr>
        <w:contextualSpacing w:val="0"/>
      </w:pPr>
      <w:r w:rsidDel="00000000" w:rsidR="00000000" w:rsidRPr="00000000">
        <w:rPr>
          <w:rtl w:val="0"/>
        </w:rPr>
        <w:t xml:space="preserve">Obstáculos sociales</w:t>
      </w:r>
    </w:p>
    <w:p w:rsidR="00000000" w:rsidDel="00000000" w:rsidP="00000000" w:rsidRDefault="00000000" w:rsidRPr="00000000">
      <w:pPr>
        <w:contextualSpacing w:val="0"/>
      </w:pPr>
      <w:r w:rsidDel="00000000" w:rsidR="00000000" w:rsidRPr="00000000">
        <w:rPr>
          <w:rtl w:val="0"/>
        </w:rPr>
        <w:t xml:space="preserve">Diferencias culturales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¿Cómo va a apoyar a estos participantes para que puedan participar plenamente en las actividades planificadas?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primer lugar, la participación de estas categorías será favorecida gracias a la implicación en actividades y talleres que implicarán de manera activa a todos los alumnos, con una metodología que tenderá a resaltar fuertemente el aspecto inclusivo y que, fundándose en un aprendizaje en cascada, ayudará la plena participación de todos.</w:t>
      </w:r>
    </w:p>
    <w:p w:rsidR="00000000" w:rsidDel="00000000" w:rsidP="00000000" w:rsidRDefault="00000000" w:rsidRPr="00000000">
      <w:pPr>
        <w:contextualSpacing w:val="0"/>
      </w:pPr>
      <w:r w:rsidDel="00000000" w:rsidR="00000000" w:rsidRPr="00000000">
        <w:rPr>
          <w:rtl w:val="0"/>
        </w:rPr>
        <w:t xml:space="preserve">En segundo lugar, los obstáculos sociales y culturales se podrán superar fácilmente gracias al enfoque adoptado en este proyecto, que ve en la colaboración social e intercultural uno de sus ejes prioritarios.</w:t>
      </w:r>
    </w:p>
    <w:p w:rsidR="00000000" w:rsidDel="00000000" w:rsidP="00000000" w:rsidRDefault="00000000" w:rsidRPr="00000000">
      <w:pPr>
        <w:contextualSpacing w:val="0"/>
      </w:pPr>
      <w:r w:rsidDel="00000000" w:rsidR="00000000" w:rsidRPr="00000000">
        <w:rPr>
          <w:rtl w:val="0"/>
        </w:rPr>
        <w:t xml:space="preserve">Las dificultades económicas, si las hubiera, se verán superadas gracias a la financiación que permitirá que dichos alumnos puedan participar incluso en las actividades de movilidad.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