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H.1 IMPACTO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Describa El impacto esperado en las organizaciones y personas participantes, grupos destinatarios y otras partes interesadas.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impacto del proyecto se materializará al convertir los centros educativos en verdaderos talleres de la humanidad, tal y como proponía Jean Comenius. Y tendrá efecto en los siguientes grupos: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los participantes: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Mejora de las competencias lingüísticas a través del intercambio de experiencias, la participación en talleres y el aprendizaje-servicio con otros iguales europeos, piezas fundamentales para el andamiaje de la inteligencia social.</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Oportunidad de aprender nuevas metodologías y usar nuevas herramientas TIC (creación de App, creación de un cortometraje, Project work ….) que fomenten la creatividad y que podrán integrar en sus  aulas.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Mayor conciencia intercultural y oportunidades de desarrollo personal, a través del conocimiento de otras realidades europeas, piezas fundamentales para el desarrollo de la inteligencia social.</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Oportunidad de profundizar su conocimiento sobre Arte y la capacidad del mismo de transmitir emociones.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Conocimiento de nuevas plataformas donde compartir materiales, recursos y que a su vez fomentan la movilidad virtual de los participantes.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las organizaciones participantes: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El desarrollo de una política escolar a largo plazo basada en crear entornos de aprendizaje más amables, significativos y sostenibles. </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La creación de un equipo de proyectos europeos con un coordinador en cada centro asociado que asegurarán el cumplimiento de la planificación de este proyecto, así como su difusión y evaluación. </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Personal que habrá actualizado sus metodologías y que podrá ofrecer programas más atractivos para los alumnos basados en trabajo por proyectos y en la formación en cascada, a través del aprendizaje-servicio.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Uso de herramientas de validación de los resultados de aprendizaje reconocidas a nivel europeo.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Planes de Convivencia y de acogida adaptados a la realidad de la educación del s.XXI </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Consolidación de los perfiles internacionales de los centros al participar en una acción del programa Erasmus+.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los grupos de destinatarios: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Los alumnos: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Se beneficiarán de unas metodologías centradas en ellos y que les permitirán una mejora en la adquisición de las competencias.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Se beneficiarán de la mejora del clima de los centros educativos y de un entorno de aprendizaje más amable, significativo y sostenible.</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Introducción de nuevas herramientas para luchar contra el fracaso escolar con el fin de aumentar el porcentaje de alumnos que obtiene una titulación tanto en etapas obligatorias como en las postobligatorias.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Mejorarán su competencia lingüística y cultural al estar en un entorno educativo enriquecido con la dimensión europea.</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Desarrollarán el pensamiento crítico para poder resolver los conflictos en los entornos de aprendizaje y en su vida personal.</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Realizarán un viaje hacia su interior basado en la reflexión sobre el pensamiento, las emociones y los sentimientos, que se convierte en una oportunidad de crecimiento personal y de consolidación de su personalidad.</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Mejorarán sus competencias digitales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Experimentarán tanto la movilidad física como la virtual al trabajar en equipo con otros compañeros de estudios en Europa </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Aprenderán métodos de autoevaluación y de medición del grado de satisfacción.</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Recibirán una enseñanza basada en criterios de calidad.</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Los profesores: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Oportunidad de mejorar sus competencias lingüísticas y culturales y de disfrutar de un entorno de aprendizaje europeo.</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Actualizarán sus competencias profesionales enfocadas al s.XXI (el Re-renacimiento)</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Se beneficiarán de la mejora del clima de los centro educativos y de un entorno de trabajo más amable, significativo y sostenible.</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Utilizarán métodos de autoevaluación y de medición del grado de satisfacción.</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Compartirán experiencias de éxito  y proyectos relevantes con profesionales europeos de distintos niveles educativos </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Se beneficiarán de las posibilidades que ofrece la plataforma e-Twinning para el trabajo colaborativo, el intercambio de experiencias, videoconferencias, eventos, etc…</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Mejorarán sus competencias digitales.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Aportarán sus experiencias a las administraciones educativas y centros de formación del profesorado para que las tengan en cuenta en sus políticas educativas.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Las familias: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Se beneficiarán de la mejora de la calidad de enseñanza impartida a sus hijos.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Se beneficiarán de mayores oportunidades de experiencias de aprendizaje para sus hijos basadas en el crecimiento personal.</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Participarán en las actividades de difusión y se acercarán a los centros.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Se beneficiarán de acoger a alumnos europeos en sus hogares y participarán del impacto más importante de estas alianzas, la experimentación de una ciudadanía  europea activa basada en experiencias de convivencia reales.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comunidad local: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vertAlign w:val="baseline"/>
          <w:rtl w:val="0"/>
        </w:rPr>
        <w:t xml:space="preserve">Se beneficiará de centros educativos con entornos de aprendizaje más amables, significativos y sostenibles.</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vertAlign w:val="baseline"/>
          <w:rtl w:val="0"/>
        </w:rPr>
        <w:t xml:space="preserve">Se beneficiará de unos ciudadanos más preparados para afrontar los retos de la Europa del presente y del futuro.</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vertAlign w:val="baseline"/>
          <w:rtl w:val="0"/>
        </w:rPr>
        <w:t xml:space="preserve">Se beneficiará de acoger a estudiantes y profesores visitantes de los centros asociados.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amplia comunidad: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Se beneficiará de los logros y resultados educativos de esta alianza, ya que todos los ellos estarán abiertos al público en general, tal y como señala el plan de difusión.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Describa el impacto esperado del proyecto a nivel local, regional, nacional, europeo o internacional.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nivel local queremos que la comunidad local tenga un impacto más directo y  se beneficie de centros educativos que mejoren el clima escolar y que sean capaces crear entornos de aprendizaje más amables, significativos y sostenibles. Y que a su vez, tengan un personal capaz  de diseñar tareas y actividades dentro del aprendizaje basado en proyectos que enriquezcan el entorno educativo, fomentando tanto el pensamiento crítico como la creatividad y que usen las nuevas tecnologías como aliadas para la consecución de los objetivos educativos.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nivel regional queremos que todas las experiencias y los logros obtenidos a través de esta alianza puedan ser usados por otros centros a través de los centros de Formación del profesorado o de las asociaciones de profesores a las que pertenecemos los centros asociados, y a los que ofreceremos todas nuestras experiencias y también nuestra disponibilidad para hacer difusión en jornadas o en los foros que se consideren más oportunos.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nivel nacional queremos influir en el desarrollo de políticas a largo plazo que nos ayuden a crear entornos de aprendizaje más amables, significativos y sostenibles, capaces de acoger a todo tipo de alumnado, sin ningún tipo de prejuicio o discriminación. Y que estén alerta ante situaciones como: acoso escolar, violencia contra la mujer, la xenofobia y el racismo.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nivel internacional queremos formar una red de escuelas más humanas, que se conviertan verdaderos laboratorios de lo humano, no en meros centros de instrucción. El carácter internacional de la misma está garantizado al estar presentes centros educativos de Italia, Polonia, Rumania y España. A lo largo de esta asociación queremos redescubrir las características propias del ser humano para conseguir un clima de respeto y acogida, donde todos los alumnos tengan cabida sin ninguna distinción y se encuentren cómodos para alcanzar su mayor potencial, logrando así reducir las estadísticas de fracaso escolar como nos pide la estrategia Europa 2020. Queremos que esta alianza llegue más allá del período de vigencia de este proyecto y por ello, manifestamos nuestra intención de seguir compartiendo iniciativas y proyectos en el futuro.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Indique cómo medirá el impacto anteriormente descrito.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impacto se puede analizar desde distintas perspectivas, pero creemos que cuando medimos el momento, es cuando podemos llegar a conclusiones tangibles. El equipo responsable de medir el impacto será el mismo que lleve a cabo la evaluación, ya que son expertos en el manejo de indicadores dentro de los sistemas de gestión de calidad. (Coordinador: IES Salvador Gadea)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panel de indicadores para medir el impacto estará formado por 1+2 indicadores de cada tipo. Cada indicador se conformará con un formulario en donde se indicará:</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Ámbito</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Definición</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Responsable</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Instrumentos de recogida de información</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Indicador</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Escala de medida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Indicadores cualitativos: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 nº1: grado de difusión e impacto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Escala de medición de 0-100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0-25: sin evidencias o son escasas las evidencias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25-50: algunas evidencias demostrables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50-75:evidencias claras de implementación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75-100:muchas /total evidencias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 este indicador valoramos si el proyecto se ha implementado la difusión, si la implicación de las personas ha sido la adecuada y si el impacto ha sido suficientemente significativo para los objetivos planteados de impacto.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Indicadores cuantitativos: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 nº2: % personas (stakeholdres) que conocen el proyecto y demuestran interés al finalizar el mismo.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Estándar de calidad 85%</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Referencias: Previsión 500 personas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Instrumentos para la gestión de indicadores: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 nº 1: Formularios a valorar por parte de todos los equipos de trabajo de todos los socios, los inspectores de los centros educativos, los asesores técnicos de los centros de profesores de referencia de cada centro educativo, etc…La tecnología será a través de formulario online google, diseñado al efecto o de algún portal tipo e-encuesta o survey monkey, de acceso libre. Estos nos servirán para medir el impacto a corto plazo. Par poder medir el impacto a largo plazo, realizaremos unas entrevistas personales y formularios on-line dos años después de la finalización de la alianza a representantes de los grupos de participantes en la misma para poder medir el efecto a largo plazo.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 nº 2: Formulario de control de asistencia y de encuesta final de Jornadas de presentación, de Jornadas de puertas abiertas, de  jornadas formativas, de presentación a los consejos escolares,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 nº3: Estadísticas de e-accesos a los distintos espacios virtuales (Blog, web,…), emitidas a partir de las propias tecnologías.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Además se elaborará un informe final de impacto que se formalizará con:</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Antecedentes.</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Objetivos previstos de impacto.</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Resultados obtenidos con la gestión del panel de indicadores.</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Recomendaciones de mejora a aplicar.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