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vertAlign w:val="baseline"/>
          <w:rtl w:val="0"/>
        </w:rPr>
        <w:t xml:space="preserve">F.1 GESTIÓN DE PROYECTO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Describa de qué manera asegurará un control presupuestario adecuado y la gestión del tiempo del proyecto.</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(identifique herramientas que usará cada socio para control de presupuesto y para el seguimiento de la programación. Indique persona encargada de estas herramientas)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Nuestro asociación estratégica está formada únicamente por centros escolares, por lo que cada centro recibirá su subvención y firmará un convenio con su propia Agencia Nacional.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IES Salvador Gadea asume el papel de coordinador, supervisión y seguimiento de todo el proyecto, ayudado por los socios. Todos los centros participantes tienen experiencia previa en programas europeos y en la gestión de los mismos. Somos conscientes de la necesidad de llevar un estricto control presupuestario y nos basaremos en las obligaciones definidas tanto en la Guía del Programa, como en los Convenios suscritos por cada centro. El coordinador de cada centro asumirá el rol de coordinador económico y  será el encargado de llevar el control presupuestario,  nombrará un responsable económico de su organización que asumirá la contabilidad de cada centro.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Las herramientas para la gestión económica de todos los socios serán  hojas de cálculo y bases de datos expresamente desarrolladas para dicho control financiero o aprovechando los templates disponibles de la Comisión Europea o la Agencia Nacional sobre este tipo de control.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control presupuestario, bajo las estipulaciones de la Agencia Nacional, se establece en las siguientes etapas: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Presupuesto solicitado en el formulario de solicitud.</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Presupuesto definitivo aprobado y que aparecerá en el convenio firmado por cada centro.</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Control económico (Informe Intermedio e Informe Final) y registro de la justificación de la asistencia a las reuniones transnacionales y a las actividades de formación, enseñanza o aprendizaje (billetes y tarjetas de embarque, certificado de asistencia emitido por el socio de acogida), hojas de cálculo con el resto de gastos derivados de la participación en dichas actividades.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calendario es otro de los aspectos importantes del proyecto ya que las organizaciones residen en distintos países y los períodos lectivos no siempre coinciden. En la propia propuesta se presenta una planificación simplificada (cronograma) con las fechas más importantes en cuanto a actividades, movilidades, etc…</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Esta planificación servirá de base para realizar una más exhaustiva y presentarla en la primera reunión del partenariado, el kick off meeting  de Aldaia. El socio coordinador, el IES Salvador Gadea, tiene una amplia experiencia en coordinación de asociaciones europeas, por lo que designará a un </w:t>
      </w:r>
      <w:r w:rsidDel="00000000" w:rsidR="00000000" w:rsidRPr="00000000">
        <w:rPr>
          <w:color w:val="ffff00"/>
          <w:highlight w:val="magenta"/>
          <w:vertAlign w:val="baseline"/>
          <w:rtl w:val="0"/>
        </w:rPr>
        <w:t xml:space="preserve">responsable NOMBRE DEL REPONSABLE</w:t>
      </w:r>
      <w:r w:rsidDel="00000000" w:rsidR="00000000" w:rsidRPr="00000000">
        <w:rPr>
          <w:vertAlign w:val="baseline"/>
          <w:rtl w:val="0"/>
        </w:rPr>
        <w:t xml:space="preserve"> que desarrollará una planificación específica en varios niveles: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sz w:val="24"/>
          <w:szCs w:val="24"/>
        </w:rPr>
      </w:pPr>
      <w:r w:rsidDel="00000000" w:rsidR="00000000" w:rsidRPr="00000000">
        <w:rPr>
          <w:rtl w:val="0"/>
        </w:rPr>
        <w:t xml:space="preserve">1. </w:t>
      </w:r>
      <w:r w:rsidDel="00000000" w:rsidR="00000000" w:rsidRPr="00000000">
        <w:rPr>
          <w:vertAlign w:val="baseline"/>
          <w:rtl w:val="0"/>
        </w:rPr>
        <w:t xml:space="preserve">Ciclo de vida del proyecto: fechas importantes, inicio-fin, informe intermedio- informe final, propuesta-implementación-resultados.</w:t>
      </w: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sz w:val="24"/>
          <w:szCs w:val="24"/>
        </w:rPr>
      </w:pPr>
      <w:r w:rsidDel="00000000" w:rsidR="00000000" w:rsidRPr="00000000">
        <w:rPr>
          <w:rtl w:val="0"/>
        </w:rPr>
        <w:t xml:space="preserve">2. </w:t>
      </w:r>
      <w:r w:rsidDel="00000000" w:rsidR="00000000" w:rsidRPr="00000000">
        <w:rPr>
          <w:vertAlign w:val="baseline"/>
          <w:rtl w:val="0"/>
        </w:rPr>
        <w:t xml:space="preserve">General: Años proyecto, reuniones internacionales, difusión, impacto y evaluación.</w:t>
      </w: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sz w:val="24"/>
          <w:szCs w:val="24"/>
        </w:rPr>
      </w:pPr>
      <w:r w:rsidDel="00000000" w:rsidR="00000000" w:rsidRPr="00000000">
        <w:rPr>
          <w:rtl w:val="0"/>
        </w:rPr>
        <w:t xml:space="preserve">3. </w:t>
      </w:r>
      <w:r w:rsidDel="00000000" w:rsidR="00000000" w:rsidRPr="00000000">
        <w:rPr>
          <w:vertAlign w:val="baseline"/>
          <w:rtl w:val="0"/>
        </w:rPr>
        <w:t xml:space="preserve">Detallado: todas las actividades, talleres, resultados, productos, reuniones presenciales y virtuales, presentaciones, jornadas.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general y el detallado serán en dos niveles: actividades-tiempos y tiempos-cost</w:t>
      </w:r>
      <w:r w:rsidDel="00000000" w:rsidR="00000000" w:rsidRPr="00000000">
        <w:rPr>
          <w:rtl w:val="0"/>
        </w:rPr>
        <w:t xml:space="preserve">o</w:t>
      </w:r>
      <w:r w:rsidDel="00000000" w:rsidR="00000000" w:rsidRPr="00000000">
        <w:rPr>
          <w:vertAlign w:val="baseline"/>
          <w:rtl w:val="0"/>
        </w:rPr>
        <w:t xml:space="preserv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Las herramientas que se utilizarán para realizar la planificación será con la aplicación projectlibre (open source) y hojas de cálculo. Los métodos serán diagramas Gantt de barras donde se referencia el binomio actividades-tiempos en el caso de Project y tiempos-costos cuando utilizamos hojas de cálculo.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Describa cómo evaluará y hará el seguimiento de la calidad de las actividades y resultados del proyecto. Indique el perfil del personal implicado y la frecuencia de estas evaluaciones de calidad.</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(el seguimiento del proyecto permitirá comprobar si está bien planificado y realizar los ajustes necesarios. Especifique herramientas de seguimiento y evaluación, objetivos y resultados esperados), informes periódicos,testimonios,… especifique el personal implicado en estas actividades y la frecuencia de los controles.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Nuestra pretensión es el aseguramiento de la calidad del proyecto en todas sus fases. Aportamos para ello nuestra experiencia en la implantación de sistemas de gestión de calidad basados en el modelo EFQM (European Foundation for Quality Management) de calidad total.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Hay que tener en cuenta que las dos escuelas españolas del proyecto están acreditadas en gestión de la calidad en el nivel máximo regional dentro de la Red de centros de calidad de la Comunitat Valenciana. Además,el socio coordinador obtuvo en 2003 el Premio Nacional a la Calidad Educativa de centros públicos.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Los responsables del aseguramiento de la calidad del proyecto serán:</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color w:val="ffff00"/>
          <w:highlight w:val="magenta"/>
          <w:rtl w:val="0"/>
        </w:rPr>
        <w:t xml:space="preserve">- </w:t>
      </w:r>
      <w:r w:rsidDel="00000000" w:rsidR="00000000" w:rsidRPr="00000000">
        <w:rPr>
          <w:color w:val="ffff00"/>
          <w:highlight w:val="magenta"/>
          <w:vertAlign w:val="baseline"/>
          <w:rtl w:val="0"/>
        </w:rPr>
        <w:t xml:space="preserve">responsableNOMBRE DEL REPONSABLE</w:t>
      </w:r>
      <w:r w:rsidDel="00000000" w:rsidR="00000000" w:rsidRPr="00000000">
        <w:rPr>
          <w:vertAlign w:val="baseline"/>
          <w:rtl w:val="0"/>
        </w:rPr>
        <w:t xml:space="preserve">, Coordinador de Calidad del IES Salvador Gadea.</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D. Ócar Estrada Aliaga, Coordinador de Calidad del Colegio Hernández.</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resto de socios nombrará un responsable que asumirá la labor de interlocución y desarrollo con los responsables nombrados.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Para ello se redactará antes de la puesta en marcha de la proyecto un Plan de Calidad que abordará:</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Documentos de control.</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Aproximación a la calidad de OSCH.</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Plan de evaluación: identificación, proceso de gestión y monitorización (cada vez que se desarrolle una reunión internacional por parte de los socios).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Plan de evaluación monitorizará periódicamente el proyecto a través de un formulario de evaluación específico, valorando: chequeo de contenidos, chequeo de calendario y planificación. Para su aplicación, los elementos clave que guiarán el diseño y desarrollo del programa serán:</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Orientación hacia los resultados.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Liderazgo y constancia de los objetivos.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Gestión por procesos.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Desarrollo e implicación de los partners.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Aprendizaje, innovación y mejora contin</w:t>
      </w:r>
      <w:r w:rsidDel="00000000" w:rsidR="00000000" w:rsidRPr="00000000">
        <w:rPr>
          <w:rtl w:val="0"/>
        </w:rPr>
        <w:t xml:space="preserve">u</w:t>
      </w:r>
      <w:r w:rsidDel="00000000" w:rsidR="00000000" w:rsidRPr="00000000">
        <w:rPr>
          <w:vertAlign w:val="baseline"/>
          <w:rtl w:val="0"/>
        </w:rPr>
        <w:t xml:space="preserve">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 metodología de intervención se diseñará de acuerdo con la secuencia del ciclo PDCA de forma que el recorrido de las acciones planteadas seguirán la lógica: Planificar-Hacer-Comprobar-Ajustar. Con este recorrido se pretende lograr la implicación en el proceso de mejora continua de todos los grupos de interés. Las acciones que llevarán a cabo los participantes durante el transcurso del proyecto se sistematizarán bajo la formula de resolución de problemas.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 metodología de evaluación contempla el control y seguimiento de indicadores y de los resultados de calidad esperados para cada una de las fases del proyecto.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Hay que tener en cuenta que dentro de la gestión del proyecto ya hemos diseñado el Plan de Difusión, el de aseguramiento de la calidad,</w:t>
      </w:r>
      <w:r w:rsidDel="00000000" w:rsidR="00000000" w:rsidRPr="00000000">
        <w:rPr>
          <w:rtl w:val="0"/>
        </w:rPr>
        <w:t xml:space="preserve"> etc.</w:t>
      </w:r>
      <w:r w:rsidDel="00000000" w:rsidR="00000000" w:rsidRPr="00000000">
        <w:rPr>
          <w:vertAlign w:val="baseline"/>
          <w:rtl w:val="0"/>
        </w:rPr>
        <w:t xml:space="preserve"> cada uno de los cuales viene explicado en su apartado.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Indique sus planes para gestionar los riesgos del proyecto (por ejemplo, resolución de conflictos) Gestión de posibles riesgos. Indique cómo tiene previsto superar estas dificultades potenciales.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Basándonos en nuestras experiencias previas, hemos identificado los siguientes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riesgos potenciales más importantes en la implementación de un proyecto de estas características :</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rtl w:val="0"/>
        </w:rPr>
        <w:t xml:space="preserve">1. </w:t>
      </w:r>
      <w:r w:rsidDel="00000000" w:rsidR="00000000" w:rsidRPr="00000000">
        <w:rPr>
          <w:vertAlign w:val="baseline"/>
          <w:rtl w:val="0"/>
        </w:rPr>
        <w:t xml:space="preserve">Dejación de funciones de uno de los socios y falta de asunción de responsabilidades.</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rtl w:val="0"/>
        </w:rPr>
        <w:t xml:space="preserve">2. </w:t>
      </w:r>
      <w:r w:rsidDel="00000000" w:rsidR="00000000" w:rsidRPr="00000000">
        <w:rPr>
          <w:vertAlign w:val="baseline"/>
          <w:rtl w:val="0"/>
        </w:rPr>
        <w:t xml:space="preserve">Proyecto demasiado extenso y por consiguiente, falta de tiempo para realizar todas las actividades planificadas.</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rtl w:val="0"/>
        </w:rPr>
        <w:t xml:space="preserve">3. </w:t>
      </w:r>
      <w:r w:rsidDel="00000000" w:rsidR="00000000" w:rsidRPr="00000000">
        <w:rPr>
          <w:vertAlign w:val="baseline"/>
          <w:rtl w:val="0"/>
        </w:rPr>
        <w:t xml:space="preserve">Distribución poco clara de las actividades. Errores de planificación.</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rtl w:val="0"/>
        </w:rPr>
        <w:t xml:space="preserve">4. </w:t>
      </w:r>
      <w:r w:rsidDel="00000000" w:rsidR="00000000" w:rsidRPr="00000000">
        <w:rPr>
          <w:vertAlign w:val="baseline"/>
          <w:rtl w:val="0"/>
        </w:rPr>
        <w:t xml:space="preserve">Distribución poco clara de los roles.</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rtl w:val="0"/>
        </w:rPr>
        <w:t xml:space="preserve">5. </w:t>
      </w:r>
      <w:r w:rsidDel="00000000" w:rsidR="00000000" w:rsidRPr="00000000">
        <w:rPr>
          <w:vertAlign w:val="baseline"/>
          <w:rtl w:val="0"/>
        </w:rPr>
        <w:t xml:space="preserve">Problemas de comunicación.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Consideramos que cualquiera de estos riesgos podrá poner en entredicho la viabilidad del proyecto, por lo que hemos considerado fundamental la designación de un Cómite de Riesgos formado por:</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Presidente del cómite: Dña Elena Pezzi, coordinadora del socio Laura Bassi.</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Vocal: Flavia Carmen Sima, coordinadora del socio Liceul Miguel de Cervantes</w:t>
      </w:r>
      <w:r w:rsidDel="00000000" w:rsidR="00000000" w:rsidRPr="00000000">
        <w:rPr>
          <w:rtl w:val="0"/>
        </w:rPr>
      </w:r>
    </w:p>
    <w:p w:rsidR="00000000" w:rsidDel="00000000" w:rsidP="00000000" w:rsidRDefault="00000000" w:rsidRPr="00000000">
      <w:pPr>
        <w:numPr>
          <w:ilvl w:val="0"/>
          <w:numId w:val="2"/>
        </w:numPr>
        <w:ind w:left="720" w:hanging="360"/>
        <w:rPr>
          <w:b w:val="0"/>
          <w:color w:val="000000"/>
          <w:sz w:val="24"/>
          <w:szCs w:val="24"/>
          <w:highlight w:val="yellow"/>
        </w:rPr>
      </w:pPr>
      <w:r w:rsidDel="00000000" w:rsidR="00000000" w:rsidRPr="00000000">
        <w:rPr>
          <w:highlight w:val="yellow"/>
          <w:rtl w:val="0"/>
        </w:rPr>
        <w:t xml:space="preserve">- </w:t>
      </w:r>
      <w:r w:rsidDel="00000000" w:rsidR="00000000" w:rsidRPr="00000000">
        <w:rPr>
          <w:color w:val="000000"/>
          <w:highlight w:val="yellow"/>
          <w:vertAlign w:val="baseline"/>
          <w:rtl w:val="0"/>
        </w:rPr>
        <w:t xml:space="preserve">Pensar si consideramos necesario la presencia de más vocales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Comité decidirá en cada caso la solución más adecuada anteponiendo la via</w:t>
      </w:r>
      <w:r w:rsidDel="00000000" w:rsidR="00000000" w:rsidRPr="00000000">
        <w:rPr>
          <w:rtl w:val="0"/>
        </w:rPr>
        <w:t xml:space="preserve">b</w:t>
      </w:r>
      <w:r w:rsidDel="00000000" w:rsidR="00000000" w:rsidRPr="00000000">
        <w:rPr>
          <w:vertAlign w:val="baseline"/>
          <w:rtl w:val="0"/>
        </w:rPr>
        <w:t xml:space="preserve">ilidad del proyecto.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 nivel general diremos que: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 Si se trata de dejación de funciones, el comité llamará la atención fehacientemente y tomará las decisiones oportunas para no po</w:t>
      </w:r>
      <w:r w:rsidDel="00000000" w:rsidR="00000000" w:rsidRPr="00000000">
        <w:rPr>
          <w:rtl w:val="0"/>
        </w:rPr>
        <w:t xml:space="preserve">n</w:t>
      </w:r>
      <w:r w:rsidDel="00000000" w:rsidR="00000000" w:rsidRPr="00000000">
        <w:rPr>
          <w:vertAlign w:val="baseline"/>
          <w:rtl w:val="0"/>
        </w:rPr>
        <w:t xml:space="preserve">er en riesgo el proyecto.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 Si la problemática es una indefinición o una confusión en la asignación de tareas o roles, o en la planificación, el responsable de planificación en el plazo de un mes reformulará dicha planificación y el listado de tareas.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 Los problemas de comunicación no pueden suponer ningún obstáculo insalvable porque, si los hubiera, los coordinadores de cada institución dominan el español y actuarán como intermediarios.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Pensamos que con estas indicaciones el comité podrá resolver cualquier riesgo eventual. También se garantiza por parte de todos los socios que el compromiso de resolución de conflictos se llevará a cabo en un plazo corto, de menos de un mes.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Describa qué actividades e indicadores de progreso (cualitativos y cuantitativos) pondrá en marcha para evaluar si se han alcanzado, y en qué grado, los objetivos y resultados del proyecto. (evaluación final del proyecto. Especifique indicadores y actividades q se van a utilizar para medir el logro de los objetivos establecidos en la solicitud. Indicadores de éxito y las herramientas de </w:t>
      </w:r>
      <w:r w:rsidDel="00000000" w:rsidR="00000000" w:rsidRPr="00000000">
        <w:rPr>
          <w:vertAlign w:val="baseline"/>
          <w:rtl w:val="0"/>
        </w:rPr>
        <w:t xml:space="preserve">medición</w:t>
      </w:r>
      <w:r w:rsidDel="00000000" w:rsidR="00000000" w:rsidRPr="00000000">
        <w:rPr>
          <w:b w:val="1"/>
          <w:vertAlign w:val="baseline"/>
          <w:rtl w:val="0"/>
        </w:rPr>
        <w:t xml:space="preserve"> adecuadas.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Equipo de Calidad del proyecto formado por los dos coordinadores y el resto de responsables de los socios plantearán una evaluación final con el fin de analizar el progreso definitivo del mismo, verificar los resultados obtenidos y el cumplimiento de los mismos, así como el alcance de lo planteado.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Para ello necesitamos poner a disposición unos Indicadores de rendimiento clave (Key Performance Indicators) que nos permitan establecer unos parámetros claros de impacto de proyecto. Estos podrán ser cuantitativos y/o cualititativos.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Para ello se establecerán un Panel de indicadores mesurables y reales. Dichos indicadores deberán medir, a nivel general, los siguientes parámetros: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El grado de consecución de los objetivos propuestos.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La aceptación y el éxito de las actividades.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El grado de cumplimiento de la temporalización en las tareas propuestas por meses, trimestres, etc.</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El grado de satisfacción personal de todos los implicados en el proyecto.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panel de indicadores estará formado por 2 indicadores de cada tipo. Cada indicador se conformará con un formulario donde se indicará:</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ámbito</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definición</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responsable</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instrumentos de recogida de información</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indicador</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tl w:val="0"/>
        </w:rPr>
        <w:t xml:space="preserve">- </w:t>
      </w:r>
      <w:r w:rsidDel="00000000" w:rsidR="00000000" w:rsidRPr="00000000">
        <w:rPr>
          <w:vertAlign w:val="baseline"/>
          <w:rtl w:val="0"/>
        </w:rPr>
        <w:t xml:space="preserve">escala de medida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Indicadores cualitativos: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 Indicador nº1: Grado de implementación del proyecto. Medición de 0-100.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Escala: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0-25: sin evidencias o son escasas las evidencias.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25-50: algunas evidencias demostrables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50-75: evidencias claras de implementación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75-100: muchas /total evidencias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Con este indicador valoramos si el proyecto se ha implementado en toda su magnitud, si se ha cumplido la planificación, si la implicación de las personas ha sido la adecuada y si se han elaborado las memorias de implementación para el informe intermedio y el informe final.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180" w:firstLine="0"/>
        <w:jc w:val="both"/>
        <w:rPr>
          <w:b w:val="0"/>
          <w:sz w:val="24"/>
          <w:szCs w:val="24"/>
        </w:rPr>
      </w:pPr>
      <w:r w:rsidDel="00000000" w:rsidR="00000000" w:rsidRPr="00000000">
        <w:rPr>
          <w:rtl w:val="0"/>
        </w:rPr>
        <w:t xml:space="preserve">- </w:t>
      </w:r>
      <w:r w:rsidDel="00000000" w:rsidR="00000000" w:rsidRPr="00000000">
        <w:rPr>
          <w:vertAlign w:val="baseline"/>
          <w:rtl w:val="0"/>
        </w:rPr>
        <w:t xml:space="preserve">Indicador nº2: Grado de éxito de los resultados. Medición de 0-100.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Escala: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0-25: sin evidencias o son escasas las evidencias.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25-50: algunas evidencias demostrables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50-75: evidencias claras de implementación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75-100: muchas /total evidencias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Con este indicador se pretende saber si, al final, el proyecto que se ha implemetado ha sido viable, si realmente ha satisfecho los objetivos planteados y si los resultados han sido los previstos.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Indicadores cuantitativos:</w:t>
      </w:r>
      <w:r w:rsidDel="00000000" w:rsidR="00000000" w:rsidRPr="00000000">
        <w:rPr>
          <w:rtl w:val="0"/>
        </w:rPr>
      </w:r>
    </w:p>
    <w:p w:rsidR="00000000" w:rsidDel="00000000" w:rsidP="00000000" w:rsidRDefault="00000000" w:rsidRPr="00000000">
      <w:pPr>
        <w:numPr>
          <w:ilvl w:val="0"/>
          <w:numId w:val="2"/>
        </w:numPr>
        <w:ind w:left="720" w:hanging="360"/>
        <w:jc w:val="both"/>
        <w:rPr>
          <w:b w:val="0"/>
          <w:sz w:val="24"/>
          <w:szCs w:val="24"/>
        </w:rPr>
      </w:pPr>
      <w:r w:rsidDel="00000000" w:rsidR="00000000" w:rsidRPr="00000000">
        <w:rPr>
          <w:rtl w:val="0"/>
        </w:rPr>
        <w:t xml:space="preserve">- </w:t>
      </w:r>
      <w:r w:rsidDel="00000000" w:rsidR="00000000" w:rsidRPr="00000000">
        <w:rPr>
          <w:vertAlign w:val="baseline"/>
          <w:rtl w:val="0"/>
        </w:rPr>
        <w:t xml:space="preserve">Indicador nº3: % Grado de satisfacción de las personas que han participado.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vertAlign w:val="baseline"/>
          <w:rtl w:val="0"/>
        </w:rPr>
        <w:t xml:space="preserve">Estándar de calidad 90%.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Los instrumentos para la gestión de los indicadores son los siguientes: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Indicador nº 1 e Indicador nº 2: Formularios a valorar por parte de todos los equipos de trabajo de todos los socios, los inspectores de los centros educativos, los asesores técnicos de los centros de profesores de referencia de cada centro educativo,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La tecnología será a través de formulario online google, diseñado al efecto o de algún portal tipo e-encuesta o survey monkey, de acceso libre.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Indicador nº3: Encuesta de satisfacción a través de un formulario específico a todas las personas de los distintos equipos del proyecto que han participado en la implementación del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Además de todo esto, se elaborará un Informe Final de evaluación que se formalizará con: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 Resultados obtenidos con la gestión de Panel de Indicadores.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 Recomendaciones de mejora a aplicar.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6"/>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