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The mission is to transform the way we try to address poverty by investing in companies that resolve the social challenges of the poorest people on the planet. This is creating a patient capital, that is, a hybrid concept between the investment whose objective is the profitability of traditional markets and the pure philanthropy.</w:t>
      </w:r>
    </w:p>
    <w:p w:rsidR="00000000" w:rsidDel="00000000" w:rsidP="00000000" w:rsidRDefault="00000000" w:rsidRPr="00000000" w14:paraId="00000002">
      <w:pPr>
        <w:rPr/>
      </w:pPr>
      <w:r w:rsidDel="00000000" w:rsidR="00000000" w:rsidRPr="00000000">
        <w:rPr>
          <w:rtl w:val="0"/>
        </w:rPr>
        <w:t xml:space="preserve">From its point of view, the philanthropic model and the market are in the patient capital its rendezvous point. And more importantly, a space where the beneficiary is fundamentally heard, as what poor people want is not help but investment to make them the protagonists of their development.</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