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8700FE" w:rsidRPr="006E37AF">
        <w:trPr>
          <w:trHeight w:val="1440"/>
        </w:trPr>
        <w:tc>
          <w:tcPr>
            <w:tcW w:w="2381" w:type="dxa"/>
            <w:tcBorders>
              <w:top w:val="nil"/>
              <w:left w:val="nil"/>
              <w:bottom w:val="nil"/>
              <w:right w:val="nil"/>
            </w:tcBorders>
          </w:tcPr>
          <w:p w:rsidR="008700FE" w:rsidRPr="006E37AF" w:rsidRDefault="00675D09">
            <w:pPr>
              <w:pStyle w:val="ZCom"/>
              <w:rPr>
                <w:rFonts w:asciiTheme="minorHAnsi" w:hAnsiTheme="minorHAnsi"/>
              </w:rPr>
            </w:pPr>
            <w:r>
              <w:rPr>
                <w:rFonts w:asciiTheme="minorHAnsi" w:hAnsi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3pt;height:53pt" fillcolor="window">
                  <v:imagedata r:id="rId8" o:title=""/>
                </v:shape>
              </w:pict>
            </w:r>
          </w:p>
        </w:tc>
        <w:tc>
          <w:tcPr>
            <w:tcW w:w="7087" w:type="dxa"/>
            <w:tcBorders>
              <w:top w:val="nil"/>
              <w:left w:val="nil"/>
              <w:bottom w:val="nil"/>
              <w:right w:val="nil"/>
            </w:tcBorders>
          </w:tcPr>
          <w:p w:rsidR="008700FE" w:rsidRPr="006E37AF" w:rsidRDefault="008700FE">
            <w:pPr>
              <w:pStyle w:val="ZCom"/>
              <w:spacing w:before="90"/>
              <w:rPr>
                <w:rFonts w:asciiTheme="minorHAnsi" w:hAnsiTheme="minorHAnsi"/>
              </w:rPr>
            </w:pPr>
            <w:r w:rsidRPr="006E37AF">
              <w:rPr>
                <w:rFonts w:asciiTheme="minorHAnsi" w:hAnsiTheme="minorHAnsi"/>
              </w:rPr>
              <w:t>EUROPEAN COMMISSION</w:t>
            </w:r>
          </w:p>
          <w:p w:rsidR="008700FE" w:rsidRPr="006E37AF" w:rsidRDefault="008700FE">
            <w:pPr>
              <w:pStyle w:val="ZDGName"/>
              <w:rPr>
                <w:rFonts w:asciiTheme="minorHAnsi" w:hAnsiTheme="minorHAnsi"/>
                <w:sz w:val="24"/>
                <w:szCs w:val="24"/>
              </w:rPr>
            </w:pPr>
          </w:p>
          <w:p w:rsidR="008700FE" w:rsidRPr="006E37AF" w:rsidRDefault="008700FE">
            <w:pPr>
              <w:pStyle w:val="ZDGName"/>
              <w:rPr>
                <w:rFonts w:asciiTheme="minorHAnsi" w:hAnsiTheme="minorHAnsi"/>
                <w:sz w:val="24"/>
                <w:szCs w:val="24"/>
              </w:rPr>
            </w:pPr>
          </w:p>
          <w:p w:rsidR="008700FE" w:rsidRPr="006E37AF" w:rsidRDefault="008700FE">
            <w:pPr>
              <w:pStyle w:val="ZDGName"/>
              <w:rPr>
                <w:rFonts w:asciiTheme="minorHAnsi" w:hAnsiTheme="minorHAnsi"/>
                <w:sz w:val="24"/>
                <w:szCs w:val="24"/>
              </w:rPr>
            </w:pPr>
          </w:p>
          <w:p w:rsidR="008700FE" w:rsidRPr="006E37AF" w:rsidRDefault="008700FE" w:rsidP="008700FE">
            <w:pPr>
              <w:pStyle w:val="ZDGName"/>
              <w:rPr>
                <w:rFonts w:asciiTheme="minorHAnsi" w:hAnsiTheme="minorHAnsi"/>
                <w:sz w:val="24"/>
                <w:szCs w:val="24"/>
              </w:rPr>
            </w:pPr>
          </w:p>
        </w:tc>
      </w:tr>
    </w:tbl>
    <w:p w:rsidR="008700FE" w:rsidRPr="006E37AF" w:rsidRDefault="008700FE">
      <w:pPr>
        <w:pStyle w:val="References"/>
        <w:rPr>
          <w:rFonts w:asciiTheme="minorHAnsi" w:hAnsiTheme="minorHAnsi"/>
          <w:sz w:val="24"/>
          <w:szCs w:val="24"/>
        </w:rPr>
      </w:pPr>
      <w:r w:rsidRPr="006E37AF">
        <w:rPr>
          <w:rFonts w:asciiTheme="minorHAnsi" w:hAnsiTheme="minorHAnsi"/>
          <w:sz w:val="24"/>
          <w:szCs w:val="24"/>
        </w:rPr>
        <w:t xml:space="preserve">London Representation </w:t>
      </w:r>
    </w:p>
    <w:p w:rsidR="002C75D9" w:rsidRPr="006E37AF" w:rsidRDefault="00296AA9" w:rsidP="002C75D9">
      <w:pPr>
        <w:pStyle w:val="AddressTR"/>
        <w:rPr>
          <w:rFonts w:asciiTheme="minorHAnsi" w:hAnsiTheme="minorHAnsi"/>
          <w:szCs w:val="24"/>
        </w:rPr>
      </w:pPr>
      <w:r w:rsidRPr="006E37AF">
        <w:rPr>
          <w:rFonts w:asciiTheme="minorHAnsi" w:hAnsiTheme="minorHAnsi"/>
          <w:szCs w:val="24"/>
        </w:rPr>
        <w:t>13</w:t>
      </w:r>
      <w:r w:rsidR="002C75D9" w:rsidRPr="006E37AF">
        <w:rPr>
          <w:rFonts w:asciiTheme="minorHAnsi" w:hAnsiTheme="minorHAnsi"/>
          <w:szCs w:val="24"/>
        </w:rPr>
        <w:t xml:space="preserve"> October 2016</w:t>
      </w:r>
    </w:p>
    <w:p w:rsidR="008700FE" w:rsidRPr="006E37AF" w:rsidRDefault="002C75D9" w:rsidP="002C75D9">
      <w:pPr>
        <w:jc w:val="center"/>
        <w:rPr>
          <w:rFonts w:asciiTheme="minorHAnsi" w:hAnsiTheme="minorHAnsi"/>
          <w:b/>
          <w:szCs w:val="24"/>
        </w:rPr>
      </w:pPr>
      <w:r w:rsidRPr="006E37AF">
        <w:rPr>
          <w:rFonts w:asciiTheme="minorHAnsi" w:hAnsiTheme="minorHAnsi"/>
          <w:b/>
          <w:szCs w:val="24"/>
        </w:rPr>
        <w:t>The European Arrest Warrant</w:t>
      </w:r>
    </w:p>
    <w:p w:rsidR="00B22EAD" w:rsidRPr="006E37AF" w:rsidRDefault="00B22EAD" w:rsidP="002C75D9">
      <w:pPr>
        <w:jc w:val="center"/>
        <w:rPr>
          <w:rFonts w:asciiTheme="minorHAnsi" w:hAnsiTheme="minorHAnsi"/>
          <w:b/>
          <w:szCs w:val="24"/>
        </w:rPr>
      </w:pPr>
      <w:r w:rsidRPr="006E37AF">
        <w:rPr>
          <w:rFonts w:asciiTheme="minorHAnsi" w:hAnsiTheme="minorHAnsi"/>
          <w:b/>
          <w:szCs w:val="24"/>
        </w:rPr>
        <w:t>Your brief</w:t>
      </w:r>
    </w:p>
    <w:p w:rsidR="0036386E" w:rsidRPr="006E37AF" w:rsidRDefault="002C75D9" w:rsidP="000E3F37">
      <w:pPr>
        <w:rPr>
          <w:rFonts w:asciiTheme="minorHAnsi" w:hAnsiTheme="minorHAnsi"/>
          <w:szCs w:val="24"/>
          <w:lang w:eastAsia="en-GB"/>
        </w:rPr>
      </w:pPr>
      <w:r w:rsidRPr="006E37AF">
        <w:rPr>
          <w:rFonts w:asciiTheme="minorHAnsi" w:hAnsiTheme="minorHAnsi"/>
          <w:szCs w:val="24"/>
        </w:rPr>
        <w:t>The European Arrest Warrant</w:t>
      </w:r>
      <w:r w:rsidR="000E3F37" w:rsidRPr="006E37AF">
        <w:rPr>
          <w:rFonts w:asciiTheme="minorHAnsi" w:hAnsiTheme="minorHAnsi"/>
          <w:szCs w:val="24"/>
        </w:rPr>
        <w:t xml:space="preserve"> (EAW)</w:t>
      </w:r>
      <w:r w:rsidRPr="006E37AF">
        <w:rPr>
          <w:rFonts w:asciiTheme="minorHAnsi" w:hAnsiTheme="minorHAnsi"/>
          <w:szCs w:val="24"/>
        </w:rPr>
        <w:t xml:space="preserve"> is an arrest warrant that operates in all Member States of the EU. It was created by Framework Decision (a type of EU legislative instrument no longer used since the Lisbon </w:t>
      </w:r>
      <w:r w:rsidR="00296AA9" w:rsidRPr="006E37AF">
        <w:rPr>
          <w:rFonts w:asciiTheme="minorHAnsi" w:hAnsiTheme="minorHAnsi"/>
          <w:szCs w:val="24"/>
        </w:rPr>
        <w:t>T</w:t>
      </w:r>
      <w:r w:rsidRPr="006E37AF">
        <w:rPr>
          <w:rFonts w:asciiTheme="minorHAnsi" w:hAnsiTheme="minorHAnsi"/>
          <w:szCs w:val="24"/>
        </w:rPr>
        <w:t>reaty).</w:t>
      </w:r>
      <w:r w:rsidR="000E3F37" w:rsidRPr="006E37AF">
        <w:rPr>
          <w:rFonts w:asciiTheme="minorHAnsi" w:hAnsiTheme="minorHAnsi"/>
          <w:szCs w:val="24"/>
        </w:rPr>
        <w:t xml:space="preserve"> Its official name is the </w:t>
      </w:r>
      <w:r w:rsidR="0036386E" w:rsidRPr="0036386E">
        <w:rPr>
          <w:rFonts w:asciiTheme="minorHAnsi" w:hAnsiTheme="minorHAnsi"/>
          <w:szCs w:val="24"/>
          <w:lang w:eastAsia="en-GB"/>
        </w:rPr>
        <w:t xml:space="preserve">Council Framework Decision </w:t>
      </w:r>
      <w:hyperlink r:id="rId9" w:history="1">
        <w:r w:rsidR="0036386E" w:rsidRPr="006E37AF">
          <w:rPr>
            <w:rFonts w:asciiTheme="minorHAnsi" w:hAnsiTheme="minorHAnsi"/>
            <w:color w:val="0000FF"/>
            <w:szCs w:val="24"/>
            <w:u w:val="single"/>
            <w:lang w:eastAsia="en-GB"/>
          </w:rPr>
          <w:t>2002/584/JHA</w:t>
        </w:r>
      </w:hyperlink>
      <w:r w:rsidR="0036386E" w:rsidRPr="0036386E">
        <w:rPr>
          <w:rFonts w:asciiTheme="minorHAnsi" w:hAnsiTheme="minorHAnsi"/>
          <w:szCs w:val="24"/>
          <w:lang w:eastAsia="en-GB"/>
        </w:rPr>
        <w:t xml:space="preserve"> of 13 June 2002 on the European arrest warrant and the surrender p</w:t>
      </w:r>
      <w:r w:rsidR="000E3F37" w:rsidRPr="006E37AF">
        <w:rPr>
          <w:rFonts w:asciiTheme="minorHAnsi" w:hAnsiTheme="minorHAnsi"/>
          <w:szCs w:val="24"/>
          <w:lang w:eastAsia="en-GB"/>
        </w:rPr>
        <w:t>rocedures between Member States.</w:t>
      </w:r>
    </w:p>
    <w:p w:rsidR="00B22EAD" w:rsidRPr="006E37AF" w:rsidRDefault="00B22EAD" w:rsidP="000E3F37">
      <w:pPr>
        <w:rPr>
          <w:rFonts w:asciiTheme="minorHAnsi" w:hAnsiTheme="minorHAnsi"/>
          <w:szCs w:val="24"/>
          <w:lang w:eastAsia="en-GB"/>
        </w:rPr>
      </w:pPr>
    </w:p>
    <w:p w:rsidR="00B22EAD" w:rsidRPr="006E37AF" w:rsidRDefault="00B22EAD" w:rsidP="000E3F37">
      <w:pPr>
        <w:rPr>
          <w:rFonts w:asciiTheme="minorHAnsi" w:hAnsiTheme="minorHAnsi"/>
          <w:szCs w:val="24"/>
          <w:lang w:eastAsia="en-GB"/>
        </w:rPr>
      </w:pPr>
      <w:r w:rsidRPr="006E37AF">
        <w:rPr>
          <w:rFonts w:asciiTheme="minorHAnsi" w:hAnsiTheme="minorHAnsi"/>
          <w:szCs w:val="24"/>
          <w:lang w:eastAsia="en-GB"/>
        </w:rPr>
        <w:t xml:space="preserve">The question for the Mock Council is: </w:t>
      </w:r>
      <w:r w:rsidRPr="006E37AF">
        <w:rPr>
          <w:rFonts w:asciiTheme="minorHAnsi" w:hAnsiTheme="minorHAnsi"/>
          <w:b/>
          <w:szCs w:val="24"/>
          <w:lang w:eastAsia="en-GB"/>
        </w:rPr>
        <w:t>"Following Brexit, should the UK be allowed to continue to be part of the European arrest Warrant system?"</w:t>
      </w:r>
    </w:p>
    <w:p w:rsidR="00B22EAD" w:rsidRPr="006E37AF" w:rsidRDefault="00640ACE" w:rsidP="000E3F37">
      <w:pPr>
        <w:rPr>
          <w:rFonts w:asciiTheme="minorHAnsi" w:hAnsiTheme="minorHAnsi"/>
          <w:szCs w:val="24"/>
          <w:lang w:eastAsia="en-GB"/>
        </w:rPr>
      </w:pPr>
      <w:r w:rsidRPr="006E37AF">
        <w:rPr>
          <w:rFonts w:asciiTheme="minorHAnsi" w:hAnsiTheme="minorHAnsi"/>
          <w:szCs w:val="24"/>
          <w:lang w:eastAsia="en-GB"/>
        </w:rPr>
        <w:t>NB – The UK delegation should consider whether the UK wants to continue to be part of the EAW system, and if so, why and how can this be achieved?</w:t>
      </w:r>
    </w:p>
    <w:p w:rsidR="00F84792" w:rsidRPr="006E37AF" w:rsidRDefault="00F84792" w:rsidP="000E3F37">
      <w:pPr>
        <w:rPr>
          <w:rFonts w:asciiTheme="minorHAnsi" w:hAnsiTheme="minorHAnsi"/>
          <w:szCs w:val="24"/>
          <w:lang w:eastAsia="en-GB"/>
        </w:rPr>
      </w:pPr>
    </w:p>
    <w:p w:rsidR="00F84792" w:rsidRPr="006E37AF" w:rsidRDefault="00F84792" w:rsidP="000E3F37">
      <w:pPr>
        <w:rPr>
          <w:rFonts w:asciiTheme="minorHAnsi" w:hAnsiTheme="minorHAnsi"/>
          <w:szCs w:val="24"/>
          <w:lang w:eastAsia="en-GB"/>
        </w:rPr>
      </w:pPr>
    </w:p>
    <w:p w:rsidR="00B22EAD" w:rsidRPr="0036386E" w:rsidRDefault="00B22EAD" w:rsidP="000E3F37">
      <w:pPr>
        <w:rPr>
          <w:rFonts w:asciiTheme="minorHAnsi" w:hAnsiTheme="minorHAnsi"/>
          <w:b/>
          <w:szCs w:val="24"/>
        </w:rPr>
      </w:pPr>
      <w:r w:rsidRPr="006E37AF">
        <w:rPr>
          <w:rFonts w:asciiTheme="minorHAnsi" w:hAnsiTheme="minorHAnsi"/>
          <w:b/>
          <w:szCs w:val="24"/>
        </w:rPr>
        <w:t>Background on the European Arrest Warrant:</w:t>
      </w:r>
    </w:p>
    <w:p w:rsidR="000E3F37" w:rsidRPr="006E37AF" w:rsidRDefault="00F84792" w:rsidP="000E3F37">
      <w:pPr>
        <w:spacing w:before="100" w:beforeAutospacing="1" w:after="100" w:afterAutospacing="1"/>
        <w:rPr>
          <w:rFonts w:asciiTheme="minorHAnsi" w:hAnsiTheme="minorHAnsi"/>
          <w:szCs w:val="24"/>
          <w:u w:val="single"/>
          <w:lang w:eastAsia="en-GB"/>
        </w:rPr>
      </w:pPr>
      <w:r w:rsidRPr="006E37AF">
        <w:rPr>
          <w:rFonts w:asciiTheme="minorHAnsi" w:hAnsiTheme="minorHAnsi"/>
          <w:szCs w:val="24"/>
          <w:u w:val="single"/>
          <w:lang w:eastAsia="en-GB"/>
        </w:rPr>
        <w:t xml:space="preserve">A. </w:t>
      </w:r>
      <w:r w:rsidR="000E3F37" w:rsidRPr="006E37AF">
        <w:rPr>
          <w:rFonts w:asciiTheme="minorHAnsi" w:hAnsiTheme="minorHAnsi"/>
          <w:szCs w:val="24"/>
          <w:u w:val="single"/>
          <w:lang w:eastAsia="en-GB"/>
        </w:rPr>
        <w:t>EAWs replace extradition:</w:t>
      </w:r>
    </w:p>
    <w:p w:rsidR="0036386E" w:rsidRPr="006E37AF" w:rsidRDefault="000E3F37" w:rsidP="000E3F37">
      <w:pPr>
        <w:spacing w:before="100" w:beforeAutospacing="1" w:after="100" w:afterAutospacing="1"/>
        <w:rPr>
          <w:rFonts w:asciiTheme="minorHAnsi" w:hAnsiTheme="minorHAnsi"/>
          <w:szCs w:val="24"/>
          <w:lang w:eastAsia="en-GB"/>
        </w:rPr>
      </w:pPr>
      <w:r w:rsidRPr="006E37AF">
        <w:rPr>
          <w:rFonts w:asciiTheme="minorHAnsi" w:hAnsiTheme="minorHAnsi"/>
          <w:szCs w:val="24"/>
          <w:lang w:eastAsia="en-GB"/>
        </w:rPr>
        <w:t xml:space="preserve">The EAW Framework Decision aims to improve and simplify </w:t>
      </w:r>
      <w:r w:rsidR="0036386E" w:rsidRPr="0036386E">
        <w:rPr>
          <w:rFonts w:asciiTheme="minorHAnsi" w:hAnsiTheme="minorHAnsi"/>
          <w:szCs w:val="24"/>
          <w:lang w:eastAsia="en-GB"/>
        </w:rPr>
        <w:t>judicial procedures to speed up the return of people from another EU country who have committed a serious crime.</w:t>
      </w:r>
      <w:r w:rsidRPr="006E37AF">
        <w:rPr>
          <w:rFonts w:asciiTheme="minorHAnsi" w:hAnsiTheme="minorHAnsi"/>
          <w:szCs w:val="24"/>
          <w:lang w:eastAsia="en-GB"/>
        </w:rPr>
        <w:t xml:space="preserve"> It replaced extradition proceedings within the European Union. Extradition proceedings could be very lengthy</w:t>
      </w:r>
      <w:r w:rsidR="00296AA9" w:rsidRPr="006E37AF">
        <w:rPr>
          <w:rFonts w:asciiTheme="minorHAnsi" w:hAnsiTheme="minorHAnsi"/>
          <w:szCs w:val="24"/>
          <w:lang w:eastAsia="en-GB"/>
        </w:rPr>
        <w:t>, sometimes taking up to 10 years</w:t>
      </w:r>
      <w:r w:rsidRPr="006E37AF">
        <w:rPr>
          <w:rFonts w:asciiTheme="minorHAnsi" w:hAnsiTheme="minorHAnsi"/>
          <w:szCs w:val="24"/>
          <w:lang w:eastAsia="en-GB"/>
        </w:rPr>
        <w:t>. They were formal and involved a state asking another state for the return of a fugitive or someone who was wanted for trial. The EAW is issued by a judicial authority (judge or prosecutor) rather than by a state. The country hat issues the EAW is known as "the Issuing State". EAWs are addressed to another judicial authority in the state in which the wanted person is known to be; that country is known as "the Executing State".</w:t>
      </w:r>
    </w:p>
    <w:p w:rsidR="00296AA9" w:rsidRPr="006E37AF" w:rsidRDefault="00296AA9" w:rsidP="000E3F37">
      <w:pPr>
        <w:spacing w:before="100" w:beforeAutospacing="1" w:after="100" w:afterAutospacing="1"/>
        <w:rPr>
          <w:rFonts w:asciiTheme="minorHAnsi" w:hAnsiTheme="minorHAnsi"/>
          <w:szCs w:val="24"/>
          <w:lang w:eastAsia="en-GB"/>
        </w:rPr>
      </w:pPr>
    </w:p>
    <w:p w:rsidR="00296AA9" w:rsidRPr="006E37AF" w:rsidRDefault="00F84792" w:rsidP="000E3F37">
      <w:pPr>
        <w:spacing w:before="100" w:beforeAutospacing="1" w:after="100" w:afterAutospacing="1"/>
        <w:rPr>
          <w:rFonts w:asciiTheme="minorHAnsi" w:hAnsiTheme="minorHAnsi"/>
          <w:szCs w:val="24"/>
          <w:u w:val="single"/>
          <w:lang w:eastAsia="en-GB"/>
        </w:rPr>
      </w:pPr>
      <w:r w:rsidRPr="006E37AF">
        <w:rPr>
          <w:rFonts w:asciiTheme="minorHAnsi" w:hAnsiTheme="minorHAnsi"/>
          <w:szCs w:val="24"/>
          <w:u w:val="single"/>
          <w:lang w:eastAsia="en-GB"/>
        </w:rPr>
        <w:t xml:space="preserve">B. </w:t>
      </w:r>
      <w:r w:rsidR="00296AA9" w:rsidRPr="006E37AF">
        <w:rPr>
          <w:rFonts w:asciiTheme="minorHAnsi" w:hAnsiTheme="minorHAnsi"/>
          <w:szCs w:val="24"/>
          <w:u w:val="single"/>
          <w:lang w:eastAsia="en-GB"/>
        </w:rPr>
        <w:t>EAWs have the following advantages:</w:t>
      </w:r>
    </w:p>
    <w:p w:rsidR="00296AA9" w:rsidRPr="006E37AF" w:rsidRDefault="00296AA9" w:rsidP="000E3F37">
      <w:pPr>
        <w:spacing w:before="100" w:beforeAutospacing="1" w:after="100" w:afterAutospacing="1"/>
        <w:rPr>
          <w:rFonts w:asciiTheme="minorHAnsi" w:hAnsiTheme="minorHAnsi"/>
          <w:szCs w:val="24"/>
          <w:lang w:eastAsia="en-GB"/>
        </w:rPr>
      </w:pPr>
      <w:r w:rsidRPr="006E37AF">
        <w:rPr>
          <w:rFonts w:asciiTheme="minorHAnsi" w:hAnsiTheme="minorHAnsi"/>
          <w:szCs w:val="24"/>
          <w:lang w:eastAsia="en-GB"/>
        </w:rPr>
        <w:lastRenderedPageBreak/>
        <w:t>The procedure is very quick – normally 30 days, sometimes up to 60 days, and exceptionally up to 90 days.</w:t>
      </w:r>
    </w:p>
    <w:p w:rsidR="00296AA9" w:rsidRPr="006E37AF" w:rsidRDefault="00296AA9" w:rsidP="00531EA6">
      <w:pPr>
        <w:spacing w:before="100" w:beforeAutospacing="1" w:after="100" w:afterAutospacing="1"/>
        <w:rPr>
          <w:rFonts w:asciiTheme="minorHAnsi" w:hAnsiTheme="minorHAnsi"/>
          <w:szCs w:val="24"/>
          <w:lang w:eastAsia="en-GB"/>
        </w:rPr>
      </w:pPr>
      <w:r w:rsidRPr="006E37AF">
        <w:rPr>
          <w:rFonts w:asciiTheme="minorHAnsi" w:hAnsiTheme="minorHAnsi"/>
          <w:szCs w:val="24"/>
          <w:lang w:eastAsia="en-GB"/>
        </w:rPr>
        <w:t>The procedure is simple – the authorities in the Issuing State do not have to produce any evidence of the offence. Under a system known as "</w:t>
      </w:r>
      <w:hyperlink r:id="rId10" w:history="1">
        <w:r w:rsidRPr="006E37AF">
          <w:rPr>
            <w:rStyle w:val="Hyperlink"/>
            <w:rFonts w:asciiTheme="minorHAnsi" w:hAnsiTheme="minorHAnsi"/>
            <w:szCs w:val="24"/>
            <w:lang w:eastAsia="en-GB"/>
          </w:rPr>
          <w:t>mutual recognition</w:t>
        </w:r>
      </w:hyperlink>
      <w:r w:rsidRPr="006E37AF">
        <w:rPr>
          <w:rFonts w:asciiTheme="minorHAnsi" w:hAnsiTheme="minorHAnsi"/>
          <w:szCs w:val="24"/>
          <w:lang w:eastAsia="en-GB"/>
        </w:rPr>
        <w:t xml:space="preserve">" </w:t>
      </w:r>
      <w:r w:rsidR="00F84792" w:rsidRPr="006E37AF">
        <w:rPr>
          <w:rFonts w:asciiTheme="minorHAnsi" w:hAnsiTheme="minorHAnsi"/>
          <w:szCs w:val="24"/>
          <w:lang w:eastAsia="en-GB"/>
        </w:rPr>
        <w:t xml:space="preserve">decisions of a judicial authority in one Member State are deemed equivalent to those of a judicial authority in another Member State, so no further checks </w:t>
      </w:r>
      <w:r w:rsidR="00531EA6" w:rsidRPr="006E37AF">
        <w:rPr>
          <w:rFonts w:asciiTheme="minorHAnsi" w:hAnsiTheme="minorHAnsi"/>
          <w:szCs w:val="24"/>
          <w:lang w:eastAsia="en-GB"/>
        </w:rPr>
        <w:t>are</w:t>
      </w:r>
      <w:r w:rsidR="00F84792" w:rsidRPr="006E37AF">
        <w:rPr>
          <w:rFonts w:asciiTheme="minorHAnsi" w:hAnsiTheme="minorHAnsi"/>
          <w:szCs w:val="24"/>
          <w:lang w:eastAsia="en-GB"/>
        </w:rPr>
        <w:t xml:space="preserve"> needed. NB In the UK – there has been "mutual recognition" between the judicial authorities of England and Scotland for 300 years, so that whilst the two countries have </w:t>
      </w:r>
      <w:r w:rsidR="00531EA6" w:rsidRPr="006E37AF">
        <w:rPr>
          <w:rFonts w:asciiTheme="minorHAnsi" w:hAnsiTheme="minorHAnsi"/>
          <w:szCs w:val="24"/>
          <w:lang w:eastAsia="en-GB"/>
        </w:rPr>
        <w:t>different</w:t>
      </w:r>
      <w:r w:rsidR="00F84792" w:rsidRPr="006E37AF">
        <w:rPr>
          <w:rFonts w:asciiTheme="minorHAnsi" w:hAnsiTheme="minorHAnsi"/>
          <w:szCs w:val="24"/>
          <w:lang w:eastAsia="en-GB"/>
        </w:rPr>
        <w:t xml:space="preserve"> legal systems, he recognise each other's arrest warrants, court judgments etc. This is the same idea as mutual recognition within the EU.</w:t>
      </w:r>
    </w:p>
    <w:p w:rsidR="00B14AE9" w:rsidRPr="0036386E" w:rsidRDefault="00B14AE9" w:rsidP="00F84792">
      <w:pPr>
        <w:spacing w:before="100" w:beforeAutospacing="1" w:after="100" w:afterAutospacing="1"/>
        <w:rPr>
          <w:rFonts w:asciiTheme="minorHAnsi" w:hAnsiTheme="minorHAnsi"/>
          <w:szCs w:val="24"/>
          <w:lang w:eastAsia="en-GB"/>
        </w:rPr>
      </w:pPr>
      <w:r w:rsidRPr="006E37AF">
        <w:rPr>
          <w:rFonts w:asciiTheme="minorHAnsi" w:hAnsiTheme="minorHAnsi"/>
          <w:szCs w:val="24"/>
          <w:lang w:eastAsia="en-GB"/>
        </w:rPr>
        <w:t xml:space="preserve">Requests can be processed quickly and efficiently, resulting in many more successful prosecutions than before and reflecting the higher numbers of people living and working in a </w:t>
      </w:r>
      <w:r w:rsidR="00F84792" w:rsidRPr="006E37AF">
        <w:rPr>
          <w:rFonts w:asciiTheme="minorHAnsi" w:hAnsiTheme="minorHAnsi"/>
          <w:szCs w:val="24"/>
          <w:lang w:eastAsia="en-GB"/>
        </w:rPr>
        <w:t>country that is not their home Member S</w:t>
      </w:r>
      <w:r w:rsidRPr="006E37AF">
        <w:rPr>
          <w:rFonts w:asciiTheme="minorHAnsi" w:hAnsiTheme="minorHAnsi"/>
          <w:szCs w:val="24"/>
          <w:lang w:eastAsia="en-GB"/>
        </w:rPr>
        <w:t xml:space="preserve">tate. Statistics for EAWs issued by the UK and executed by the UK can be found </w:t>
      </w:r>
      <w:hyperlink r:id="rId11" w:history="1">
        <w:r w:rsidRPr="006E37AF">
          <w:rPr>
            <w:rStyle w:val="Hyperlink"/>
            <w:rFonts w:asciiTheme="minorHAnsi" w:hAnsiTheme="minorHAnsi"/>
            <w:szCs w:val="24"/>
            <w:lang w:eastAsia="en-GB"/>
          </w:rPr>
          <w:t>here</w:t>
        </w:r>
      </w:hyperlink>
      <w:r w:rsidRPr="006E37AF">
        <w:rPr>
          <w:rFonts w:asciiTheme="minorHAnsi" w:hAnsiTheme="minorHAnsi"/>
          <w:szCs w:val="24"/>
          <w:lang w:eastAsia="en-GB"/>
        </w:rPr>
        <w:t>.</w:t>
      </w:r>
    </w:p>
    <w:p w:rsidR="0036386E" w:rsidRPr="0036386E" w:rsidRDefault="0036386E" w:rsidP="00F84792">
      <w:pPr>
        <w:spacing w:before="100" w:beforeAutospacing="1" w:after="100" w:afterAutospacing="1"/>
        <w:rPr>
          <w:rFonts w:asciiTheme="minorHAnsi" w:hAnsiTheme="minorHAnsi"/>
          <w:szCs w:val="24"/>
          <w:lang w:eastAsia="en-GB"/>
        </w:rPr>
      </w:pPr>
      <w:r w:rsidRPr="0036386E">
        <w:rPr>
          <w:rFonts w:asciiTheme="minorHAnsi" w:hAnsiTheme="minorHAnsi"/>
          <w:szCs w:val="24"/>
          <w:lang w:eastAsia="en-GB"/>
        </w:rPr>
        <w:t>The E</w:t>
      </w:r>
      <w:r w:rsidR="000E3F37" w:rsidRPr="006E37AF">
        <w:rPr>
          <w:rFonts w:asciiTheme="minorHAnsi" w:hAnsiTheme="minorHAnsi"/>
          <w:szCs w:val="24"/>
          <w:lang w:eastAsia="en-GB"/>
        </w:rPr>
        <w:t>AW</w:t>
      </w:r>
      <w:r w:rsidRPr="0036386E">
        <w:rPr>
          <w:rFonts w:asciiTheme="minorHAnsi" w:hAnsiTheme="minorHAnsi"/>
          <w:szCs w:val="24"/>
          <w:lang w:eastAsia="en-GB"/>
        </w:rPr>
        <w:t xml:space="preserve"> requires each national judicial authority to recognise and act on, with a minimum of formalities and within a set deadline, requests made by the judicial authority of another EU country. A warrant asks for a person to be handed over so that:</w:t>
      </w:r>
    </w:p>
    <w:p w:rsidR="0036386E" w:rsidRPr="0036386E" w:rsidRDefault="0036386E" w:rsidP="00F84792">
      <w:pPr>
        <w:numPr>
          <w:ilvl w:val="0"/>
          <w:numId w:val="28"/>
        </w:numPr>
        <w:spacing w:before="100" w:beforeAutospacing="1" w:after="100" w:afterAutospacing="1"/>
        <w:rPr>
          <w:rFonts w:asciiTheme="minorHAnsi" w:hAnsiTheme="minorHAnsi"/>
          <w:szCs w:val="24"/>
          <w:lang w:eastAsia="en-GB"/>
        </w:rPr>
      </w:pPr>
      <w:r w:rsidRPr="0036386E">
        <w:rPr>
          <w:rFonts w:asciiTheme="minorHAnsi" w:hAnsiTheme="minorHAnsi"/>
          <w:szCs w:val="24"/>
          <w:lang w:eastAsia="en-GB"/>
        </w:rPr>
        <w:t xml:space="preserve">a criminal prosecution can be conducted; </w:t>
      </w:r>
    </w:p>
    <w:p w:rsidR="0036386E" w:rsidRPr="0036386E" w:rsidRDefault="0036386E" w:rsidP="00F84792">
      <w:pPr>
        <w:numPr>
          <w:ilvl w:val="0"/>
          <w:numId w:val="28"/>
        </w:numPr>
        <w:spacing w:before="100" w:beforeAutospacing="1" w:after="100" w:afterAutospacing="1"/>
        <w:rPr>
          <w:rFonts w:asciiTheme="minorHAnsi" w:hAnsiTheme="minorHAnsi"/>
          <w:szCs w:val="24"/>
          <w:lang w:eastAsia="en-GB"/>
        </w:rPr>
      </w:pPr>
      <w:r w:rsidRPr="0036386E">
        <w:rPr>
          <w:rFonts w:asciiTheme="minorHAnsi" w:hAnsiTheme="minorHAnsi"/>
          <w:szCs w:val="24"/>
          <w:lang w:eastAsia="en-GB"/>
        </w:rPr>
        <w:t xml:space="preserve">the person can be placed in custody or detention. </w:t>
      </w:r>
    </w:p>
    <w:p w:rsidR="0036386E" w:rsidRPr="0036386E" w:rsidRDefault="0036386E" w:rsidP="00F84792">
      <w:pPr>
        <w:spacing w:before="100" w:beforeAutospacing="1" w:after="100" w:afterAutospacing="1"/>
        <w:rPr>
          <w:rFonts w:asciiTheme="minorHAnsi" w:hAnsiTheme="minorHAnsi"/>
          <w:szCs w:val="24"/>
          <w:lang w:eastAsia="en-GB"/>
        </w:rPr>
      </w:pPr>
      <w:r w:rsidRPr="0036386E">
        <w:rPr>
          <w:rFonts w:asciiTheme="minorHAnsi" w:hAnsiTheme="minorHAnsi"/>
          <w:szCs w:val="24"/>
          <w:lang w:eastAsia="en-GB"/>
        </w:rPr>
        <w:t xml:space="preserve">The warrant </w:t>
      </w:r>
      <w:r w:rsidRPr="006E37AF">
        <w:rPr>
          <w:rFonts w:asciiTheme="minorHAnsi" w:hAnsiTheme="minorHAnsi"/>
          <w:szCs w:val="24"/>
          <w:lang w:eastAsia="en-GB"/>
        </w:rPr>
        <w:t>applies</w:t>
      </w:r>
      <w:r w:rsidRPr="0036386E">
        <w:rPr>
          <w:rFonts w:asciiTheme="minorHAnsi" w:hAnsiTheme="minorHAnsi"/>
          <w:szCs w:val="24"/>
          <w:lang w:eastAsia="en-GB"/>
        </w:rPr>
        <w:t xml:space="preserve"> in the following cases:</w:t>
      </w:r>
    </w:p>
    <w:p w:rsidR="0036386E" w:rsidRPr="0036386E" w:rsidRDefault="0036386E" w:rsidP="00F84792">
      <w:pPr>
        <w:numPr>
          <w:ilvl w:val="0"/>
          <w:numId w:val="29"/>
        </w:numPr>
        <w:spacing w:before="100" w:beforeAutospacing="1" w:after="100" w:afterAutospacing="1"/>
        <w:rPr>
          <w:rFonts w:asciiTheme="minorHAnsi" w:hAnsiTheme="minorHAnsi"/>
          <w:szCs w:val="24"/>
          <w:lang w:eastAsia="en-GB"/>
        </w:rPr>
      </w:pPr>
      <w:r w:rsidRPr="0036386E">
        <w:rPr>
          <w:rFonts w:asciiTheme="minorHAnsi" w:hAnsiTheme="minorHAnsi"/>
          <w:szCs w:val="24"/>
          <w:lang w:eastAsia="en-GB"/>
        </w:rPr>
        <w:t xml:space="preserve">offences punishable by imprisonment or a detention order for a maximum period of at least 1 year; </w:t>
      </w:r>
    </w:p>
    <w:p w:rsidR="0036386E" w:rsidRPr="0036386E" w:rsidRDefault="0036386E" w:rsidP="00F84792">
      <w:pPr>
        <w:numPr>
          <w:ilvl w:val="0"/>
          <w:numId w:val="29"/>
        </w:numPr>
        <w:spacing w:before="100" w:beforeAutospacing="1" w:after="100" w:afterAutospacing="1"/>
        <w:rPr>
          <w:rFonts w:asciiTheme="minorHAnsi" w:hAnsiTheme="minorHAnsi"/>
          <w:szCs w:val="24"/>
          <w:lang w:eastAsia="en-GB"/>
        </w:rPr>
      </w:pPr>
      <w:r w:rsidRPr="0036386E">
        <w:rPr>
          <w:rFonts w:asciiTheme="minorHAnsi" w:hAnsiTheme="minorHAnsi"/>
          <w:szCs w:val="24"/>
          <w:lang w:eastAsia="en-GB"/>
        </w:rPr>
        <w:t xml:space="preserve">where a final custodial sentence has been passed or a detention order has been made, for sentences of at least 4 months. </w:t>
      </w:r>
    </w:p>
    <w:p w:rsidR="0036386E" w:rsidRPr="0036386E" w:rsidRDefault="00F84792" w:rsidP="00F84792">
      <w:pPr>
        <w:spacing w:before="100" w:beforeAutospacing="1" w:after="100" w:afterAutospacing="1"/>
        <w:rPr>
          <w:rFonts w:asciiTheme="minorHAnsi" w:hAnsiTheme="minorHAnsi"/>
          <w:szCs w:val="24"/>
          <w:u w:val="single"/>
          <w:lang w:eastAsia="en-GB"/>
        </w:rPr>
      </w:pPr>
      <w:r w:rsidRPr="006E37AF">
        <w:rPr>
          <w:rFonts w:asciiTheme="minorHAnsi" w:hAnsiTheme="minorHAnsi"/>
          <w:szCs w:val="24"/>
          <w:u w:val="single"/>
          <w:lang w:eastAsia="en-GB"/>
        </w:rPr>
        <w:t xml:space="preserve">C. </w:t>
      </w:r>
      <w:r w:rsidR="0036386E" w:rsidRPr="006E37AF">
        <w:rPr>
          <w:rFonts w:asciiTheme="minorHAnsi" w:hAnsiTheme="minorHAnsi"/>
          <w:szCs w:val="24"/>
          <w:u w:val="single"/>
          <w:lang w:eastAsia="en-GB"/>
        </w:rPr>
        <w:t xml:space="preserve">Proportionate use of the </w:t>
      </w:r>
      <w:r w:rsidR="000E3F37" w:rsidRPr="006E37AF">
        <w:rPr>
          <w:rFonts w:asciiTheme="minorHAnsi" w:hAnsiTheme="minorHAnsi"/>
          <w:szCs w:val="24"/>
          <w:u w:val="single"/>
          <w:lang w:eastAsia="en-GB"/>
        </w:rPr>
        <w:t>EAW</w:t>
      </w:r>
      <w:r w:rsidR="0036386E" w:rsidRPr="0036386E">
        <w:rPr>
          <w:rFonts w:asciiTheme="minorHAnsi" w:hAnsiTheme="minorHAnsi"/>
          <w:szCs w:val="24"/>
          <w:u w:val="single"/>
          <w:lang w:eastAsia="en-GB"/>
        </w:rPr>
        <w:t xml:space="preserve"> </w:t>
      </w:r>
    </w:p>
    <w:p w:rsidR="0036386E" w:rsidRPr="0036386E" w:rsidRDefault="0036386E" w:rsidP="00F84792">
      <w:pPr>
        <w:spacing w:before="100" w:beforeAutospacing="1" w:after="100" w:afterAutospacing="1"/>
        <w:rPr>
          <w:rFonts w:asciiTheme="minorHAnsi" w:hAnsiTheme="minorHAnsi"/>
          <w:szCs w:val="24"/>
          <w:lang w:eastAsia="en-GB"/>
        </w:rPr>
      </w:pPr>
      <w:r w:rsidRPr="0036386E">
        <w:rPr>
          <w:rFonts w:asciiTheme="minorHAnsi" w:hAnsiTheme="minorHAnsi"/>
          <w:szCs w:val="24"/>
          <w:lang w:eastAsia="en-GB"/>
        </w:rPr>
        <w:t>EU countries must take the following into consideration (non-exhaustive list):</w:t>
      </w:r>
    </w:p>
    <w:p w:rsidR="0036386E" w:rsidRPr="0036386E" w:rsidRDefault="0036386E" w:rsidP="00F84792">
      <w:pPr>
        <w:numPr>
          <w:ilvl w:val="0"/>
          <w:numId w:val="30"/>
        </w:numPr>
        <w:spacing w:before="100" w:beforeAutospacing="1" w:after="100" w:afterAutospacing="1"/>
        <w:rPr>
          <w:rFonts w:asciiTheme="minorHAnsi" w:hAnsiTheme="minorHAnsi"/>
          <w:szCs w:val="24"/>
          <w:lang w:eastAsia="en-GB"/>
        </w:rPr>
      </w:pPr>
      <w:r w:rsidRPr="0036386E">
        <w:rPr>
          <w:rFonts w:asciiTheme="minorHAnsi" w:hAnsiTheme="minorHAnsi"/>
          <w:szCs w:val="24"/>
          <w:lang w:eastAsia="en-GB"/>
        </w:rPr>
        <w:t xml:space="preserve">the circumstances and the gravity of the offence; </w:t>
      </w:r>
    </w:p>
    <w:p w:rsidR="0036386E" w:rsidRPr="0036386E" w:rsidRDefault="0036386E" w:rsidP="00F84792">
      <w:pPr>
        <w:numPr>
          <w:ilvl w:val="0"/>
          <w:numId w:val="30"/>
        </w:numPr>
        <w:spacing w:before="100" w:beforeAutospacing="1" w:after="100" w:afterAutospacing="1"/>
        <w:rPr>
          <w:rFonts w:asciiTheme="minorHAnsi" w:hAnsiTheme="minorHAnsi"/>
          <w:szCs w:val="24"/>
          <w:lang w:eastAsia="en-GB"/>
        </w:rPr>
      </w:pPr>
      <w:r w:rsidRPr="0036386E">
        <w:rPr>
          <w:rFonts w:asciiTheme="minorHAnsi" w:hAnsiTheme="minorHAnsi"/>
          <w:szCs w:val="24"/>
          <w:lang w:eastAsia="en-GB"/>
        </w:rPr>
        <w:t xml:space="preserve">the likely sentence; </w:t>
      </w:r>
    </w:p>
    <w:p w:rsidR="0036386E" w:rsidRPr="0036386E" w:rsidRDefault="0036386E" w:rsidP="00F84792">
      <w:pPr>
        <w:numPr>
          <w:ilvl w:val="0"/>
          <w:numId w:val="30"/>
        </w:numPr>
        <w:spacing w:before="100" w:beforeAutospacing="1" w:after="100" w:afterAutospacing="1"/>
        <w:rPr>
          <w:rFonts w:asciiTheme="minorHAnsi" w:hAnsiTheme="minorHAnsi"/>
          <w:szCs w:val="24"/>
          <w:lang w:eastAsia="en-GB"/>
        </w:rPr>
      </w:pPr>
      <w:r w:rsidRPr="0036386E">
        <w:rPr>
          <w:rFonts w:asciiTheme="minorHAnsi" w:hAnsiTheme="minorHAnsi"/>
          <w:szCs w:val="24"/>
          <w:lang w:eastAsia="en-GB"/>
        </w:rPr>
        <w:t xml:space="preserve">less coercive alternative measures. </w:t>
      </w:r>
    </w:p>
    <w:p w:rsidR="00F84792" w:rsidRPr="006E37AF" w:rsidRDefault="00644021" w:rsidP="00F84792">
      <w:pPr>
        <w:spacing w:before="100" w:beforeAutospacing="1" w:after="100" w:afterAutospacing="1"/>
        <w:rPr>
          <w:rFonts w:asciiTheme="minorHAnsi" w:hAnsiTheme="minorHAnsi"/>
          <w:szCs w:val="24"/>
          <w:lang w:eastAsia="en-GB"/>
        </w:rPr>
      </w:pPr>
      <w:r w:rsidRPr="006E37AF">
        <w:rPr>
          <w:rFonts w:asciiTheme="minorHAnsi" w:hAnsiTheme="minorHAnsi"/>
          <w:szCs w:val="24"/>
          <w:lang w:eastAsia="en-GB"/>
        </w:rPr>
        <w:t>An</w:t>
      </w:r>
      <w:r w:rsidR="00F84792" w:rsidRPr="006E37AF">
        <w:rPr>
          <w:rFonts w:asciiTheme="minorHAnsi" w:hAnsiTheme="minorHAnsi"/>
          <w:szCs w:val="24"/>
          <w:lang w:eastAsia="en-GB"/>
        </w:rPr>
        <w:t xml:space="preserve"> EAW must only be used when it is proportionate to do so, so they cannot be used for very minor offences. In some cases, they have been used for e.g. theft of a map rom a motorway service station or theft of a bicycle. These case shave been criticised and the countries that used the EAW disproportionately have now agreed to reduce their use to more serious cases.</w:t>
      </w:r>
    </w:p>
    <w:p w:rsidR="0036386E" w:rsidRPr="0036386E" w:rsidRDefault="0036386E" w:rsidP="00F84792">
      <w:pPr>
        <w:spacing w:before="100" w:beforeAutospacing="1" w:after="100" w:afterAutospacing="1"/>
        <w:rPr>
          <w:rFonts w:asciiTheme="minorHAnsi" w:hAnsiTheme="minorHAnsi"/>
          <w:szCs w:val="24"/>
          <w:lang w:eastAsia="en-GB"/>
        </w:rPr>
      </w:pPr>
      <w:r w:rsidRPr="0036386E">
        <w:rPr>
          <w:rFonts w:asciiTheme="minorHAnsi" w:hAnsiTheme="minorHAnsi"/>
          <w:szCs w:val="24"/>
          <w:lang w:eastAsia="en-GB"/>
        </w:rPr>
        <w:t>When an individual is arrested, he/she must be informed of the contents of the arrest warrant.</w:t>
      </w:r>
    </w:p>
    <w:p w:rsidR="0036386E" w:rsidRPr="0036386E" w:rsidRDefault="0036386E" w:rsidP="00F84792">
      <w:pPr>
        <w:spacing w:before="100" w:beforeAutospacing="1" w:after="100" w:afterAutospacing="1"/>
        <w:rPr>
          <w:rFonts w:asciiTheme="minorHAnsi" w:hAnsiTheme="minorHAnsi"/>
          <w:szCs w:val="24"/>
          <w:lang w:eastAsia="en-GB"/>
        </w:rPr>
      </w:pPr>
      <w:r w:rsidRPr="006E37AF">
        <w:rPr>
          <w:rFonts w:asciiTheme="minorHAnsi" w:hAnsiTheme="minorHAnsi"/>
          <w:szCs w:val="24"/>
          <w:lang w:eastAsia="en-GB"/>
        </w:rPr>
        <w:t>In wh</w:t>
      </w:r>
      <w:r w:rsidR="00B14AE9" w:rsidRPr="006E37AF">
        <w:rPr>
          <w:rFonts w:asciiTheme="minorHAnsi" w:hAnsiTheme="minorHAnsi"/>
          <w:szCs w:val="24"/>
          <w:lang w:eastAsia="en-GB"/>
        </w:rPr>
        <w:t>at</w:t>
      </w:r>
      <w:r w:rsidRPr="006E37AF">
        <w:rPr>
          <w:rFonts w:asciiTheme="minorHAnsi" w:hAnsiTheme="minorHAnsi"/>
          <w:szCs w:val="24"/>
          <w:lang w:eastAsia="en-GB"/>
        </w:rPr>
        <w:t xml:space="preserve"> cases must EU countries refuse to act on a warrant?</w:t>
      </w:r>
      <w:r w:rsidRPr="0036386E">
        <w:rPr>
          <w:rFonts w:asciiTheme="minorHAnsi" w:hAnsiTheme="minorHAnsi"/>
          <w:szCs w:val="24"/>
          <w:lang w:eastAsia="en-GB"/>
        </w:rPr>
        <w:t xml:space="preserve"> </w:t>
      </w:r>
    </w:p>
    <w:p w:rsidR="0036386E" w:rsidRPr="0036386E" w:rsidRDefault="0036386E" w:rsidP="00F84792">
      <w:pPr>
        <w:numPr>
          <w:ilvl w:val="0"/>
          <w:numId w:val="31"/>
        </w:numPr>
        <w:spacing w:before="100" w:beforeAutospacing="1" w:after="100" w:afterAutospacing="1"/>
        <w:rPr>
          <w:rFonts w:asciiTheme="minorHAnsi" w:hAnsiTheme="minorHAnsi"/>
          <w:szCs w:val="24"/>
          <w:lang w:eastAsia="en-GB"/>
        </w:rPr>
      </w:pPr>
      <w:r w:rsidRPr="0036386E">
        <w:rPr>
          <w:rFonts w:asciiTheme="minorHAnsi" w:hAnsiTheme="minorHAnsi"/>
          <w:szCs w:val="24"/>
          <w:lang w:eastAsia="en-GB"/>
        </w:rPr>
        <w:lastRenderedPageBreak/>
        <w:t xml:space="preserve">If an EU country has already handed down a final judgment on the person concerned for the same offence. </w:t>
      </w:r>
    </w:p>
    <w:p w:rsidR="0036386E" w:rsidRPr="0036386E" w:rsidRDefault="0036386E" w:rsidP="00F84792">
      <w:pPr>
        <w:numPr>
          <w:ilvl w:val="0"/>
          <w:numId w:val="31"/>
        </w:numPr>
        <w:spacing w:before="100" w:beforeAutospacing="1" w:after="100" w:afterAutospacing="1"/>
        <w:rPr>
          <w:rFonts w:asciiTheme="minorHAnsi" w:hAnsiTheme="minorHAnsi"/>
          <w:szCs w:val="24"/>
          <w:lang w:eastAsia="en-GB"/>
        </w:rPr>
      </w:pPr>
      <w:r w:rsidRPr="0036386E">
        <w:rPr>
          <w:rFonts w:asciiTheme="minorHAnsi" w:hAnsiTheme="minorHAnsi"/>
          <w:szCs w:val="24"/>
          <w:lang w:eastAsia="en-GB"/>
        </w:rPr>
        <w:t xml:space="preserve">If the offence is covered by an amnesty in the EU country asked to hand over the perpetrator. </w:t>
      </w:r>
    </w:p>
    <w:p w:rsidR="0036386E" w:rsidRPr="006E37AF" w:rsidRDefault="0036386E" w:rsidP="00F84792">
      <w:pPr>
        <w:numPr>
          <w:ilvl w:val="0"/>
          <w:numId w:val="31"/>
        </w:numPr>
        <w:spacing w:before="100" w:beforeAutospacing="1" w:after="100" w:afterAutospacing="1"/>
        <w:rPr>
          <w:rFonts w:asciiTheme="minorHAnsi" w:hAnsiTheme="minorHAnsi"/>
          <w:szCs w:val="24"/>
          <w:lang w:eastAsia="en-GB"/>
        </w:rPr>
      </w:pPr>
      <w:r w:rsidRPr="0036386E">
        <w:rPr>
          <w:rFonts w:asciiTheme="minorHAnsi" w:hAnsiTheme="minorHAnsi"/>
          <w:szCs w:val="24"/>
          <w:lang w:eastAsia="en-GB"/>
        </w:rPr>
        <w:t xml:space="preserve">If the person concerned may not be held criminally </w:t>
      </w:r>
      <w:r w:rsidR="00B14AE9" w:rsidRPr="006E37AF">
        <w:rPr>
          <w:rFonts w:asciiTheme="minorHAnsi" w:hAnsiTheme="minorHAnsi"/>
          <w:szCs w:val="24"/>
          <w:lang w:eastAsia="en-GB"/>
        </w:rPr>
        <w:t>liable</w:t>
      </w:r>
      <w:r w:rsidRPr="0036386E">
        <w:rPr>
          <w:rFonts w:asciiTheme="minorHAnsi" w:hAnsiTheme="minorHAnsi"/>
          <w:szCs w:val="24"/>
          <w:lang w:eastAsia="en-GB"/>
        </w:rPr>
        <w:t xml:space="preserve"> by the EU country asked to act on the warrant, owing to his/her age. </w:t>
      </w:r>
    </w:p>
    <w:p w:rsidR="000E3F37" w:rsidRPr="0036386E" w:rsidRDefault="000E3F37" w:rsidP="000E3F37">
      <w:pPr>
        <w:spacing w:before="100" w:beforeAutospacing="1" w:after="100" w:afterAutospacing="1"/>
        <w:jc w:val="left"/>
        <w:rPr>
          <w:rFonts w:asciiTheme="minorHAnsi" w:hAnsiTheme="minorHAnsi"/>
          <w:szCs w:val="24"/>
          <w:lang w:eastAsia="en-GB"/>
        </w:rPr>
      </w:pPr>
      <w:r w:rsidRPr="0036386E">
        <w:rPr>
          <w:rFonts w:asciiTheme="minorHAnsi" w:hAnsiTheme="minorHAnsi"/>
          <w:szCs w:val="24"/>
          <w:lang w:eastAsia="en-GB"/>
        </w:rPr>
        <w:t xml:space="preserve">A 2011 European Commission </w:t>
      </w:r>
      <w:hyperlink r:id="rId12" w:history="1">
        <w:r w:rsidRPr="006E37AF">
          <w:rPr>
            <w:rFonts w:asciiTheme="minorHAnsi" w:hAnsiTheme="minorHAnsi"/>
            <w:color w:val="0000FF"/>
            <w:szCs w:val="24"/>
            <w:u w:val="single"/>
            <w:lang w:eastAsia="en-GB"/>
          </w:rPr>
          <w:t>report</w:t>
        </w:r>
      </w:hyperlink>
      <w:r w:rsidRPr="0036386E">
        <w:rPr>
          <w:rFonts w:asciiTheme="minorHAnsi" w:hAnsiTheme="minorHAnsi"/>
          <w:szCs w:val="24"/>
          <w:lang w:eastAsia="en-GB"/>
        </w:rPr>
        <w:t xml:space="preserve"> found that the European arrest warrant was very successful in helping EU countries fight crime, </w:t>
      </w:r>
      <w:r w:rsidR="00B22EAD" w:rsidRPr="006E37AF">
        <w:rPr>
          <w:rFonts w:asciiTheme="minorHAnsi" w:hAnsiTheme="minorHAnsi"/>
          <w:szCs w:val="24"/>
          <w:lang w:eastAsia="en-GB"/>
        </w:rPr>
        <w:t xml:space="preserve">but that </w:t>
      </w:r>
      <w:r w:rsidRPr="0036386E">
        <w:rPr>
          <w:rFonts w:asciiTheme="minorHAnsi" w:hAnsiTheme="minorHAnsi"/>
          <w:szCs w:val="24"/>
          <w:lang w:eastAsia="en-GB"/>
        </w:rPr>
        <w:t>several areas could be improved</w:t>
      </w:r>
      <w:r w:rsidRPr="006E37AF">
        <w:rPr>
          <w:rFonts w:asciiTheme="minorHAnsi" w:hAnsiTheme="minorHAnsi"/>
          <w:szCs w:val="24"/>
          <w:lang w:eastAsia="en-GB"/>
        </w:rPr>
        <w:t>.</w:t>
      </w:r>
      <w:r w:rsidRPr="006E37AF">
        <w:rPr>
          <w:rFonts w:asciiTheme="minorHAnsi" w:hAnsiTheme="minorHAnsi"/>
          <w:szCs w:val="24"/>
        </w:rPr>
        <w:t xml:space="preserve"> </w:t>
      </w:r>
    </w:p>
    <w:p w:rsidR="0036386E" w:rsidRPr="006E37AF" w:rsidRDefault="0036386E" w:rsidP="0036386E">
      <w:pPr>
        <w:spacing w:before="100" w:beforeAutospacing="1" w:after="100" w:afterAutospacing="1"/>
        <w:jc w:val="left"/>
        <w:rPr>
          <w:rFonts w:asciiTheme="minorHAnsi" w:hAnsiTheme="minorHAnsi"/>
          <w:szCs w:val="24"/>
          <w:lang w:eastAsia="en-GB"/>
        </w:rPr>
      </w:pPr>
      <w:r w:rsidRPr="0036386E">
        <w:rPr>
          <w:rFonts w:asciiTheme="minorHAnsi" w:hAnsiTheme="minorHAnsi"/>
          <w:szCs w:val="24"/>
          <w:lang w:eastAsia="en-GB"/>
        </w:rPr>
        <w:t xml:space="preserve">For further information, see </w:t>
      </w:r>
      <w:hyperlink r:id="rId13" w:history="1">
        <w:r w:rsidRPr="006E37AF">
          <w:rPr>
            <w:rFonts w:asciiTheme="minorHAnsi" w:hAnsiTheme="minorHAnsi"/>
            <w:color w:val="0000FF"/>
            <w:szCs w:val="24"/>
            <w:u w:val="single"/>
            <w:lang w:eastAsia="en-GB"/>
          </w:rPr>
          <w:t>European arrest warrant on the European Commission’s website</w:t>
        </w:r>
      </w:hyperlink>
      <w:r w:rsidRPr="0036386E">
        <w:rPr>
          <w:rFonts w:asciiTheme="minorHAnsi" w:hAnsiTheme="minorHAnsi"/>
          <w:szCs w:val="24"/>
          <w:lang w:eastAsia="en-GB"/>
        </w:rPr>
        <w:t>.</w:t>
      </w:r>
    </w:p>
    <w:p w:rsidR="000E3F37" w:rsidRPr="006E37AF" w:rsidRDefault="000E3F37" w:rsidP="0036386E">
      <w:pPr>
        <w:spacing w:before="100" w:beforeAutospacing="1" w:after="100" w:afterAutospacing="1"/>
        <w:jc w:val="left"/>
        <w:rPr>
          <w:rFonts w:asciiTheme="minorHAnsi" w:hAnsiTheme="minorHAnsi"/>
          <w:szCs w:val="24"/>
          <w:lang w:eastAsia="en-GB"/>
        </w:rPr>
      </w:pPr>
    </w:p>
    <w:p w:rsidR="000E3F37" w:rsidRPr="0036386E" w:rsidRDefault="000E3F37" w:rsidP="0036386E">
      <w:pPr>
        <w:spacing w:before="100" w:beforeAutospacing="1" w:after="100" w:afterAutospacing="1"/>
        <w:jc w:val="left"/>
        <w:rPr>
          <w:rFonts w:asciiTheme="minorHAnsi" w:hAnsiTheme="minorHAnsi"/>
          <w:szCs w:val="24"/>
          <w:lang w:eastAsia="en-GB"/>
        </w:rPr>
      </w:pPr>
    </w:p>
    <w:p w:rsidR="000E3F37" w:rsidRPr="0036386E" w:rsidRDefault="00644021" w:rsidP="000E3F37">
      <w:pPr>
        <w:spacing w:before="100" w:beforeAutospacing="1" w:after="100" w:afterAutospacing="1"/>
        <w:jc w:val="left"/>
        <w:rPr>
          <w:rFonts w:asciiTheme="minorHAnsi" w:hAnsiTheme="minorHAnsi"/>
          <w:szCs w:val="24"/>
          <w:u w:val="single"/>
          <w:lang w:eastAsia="en-GB"/>
        </w:rPr>
      </w:pPr>
      <w:r w:rsidRPr="006E37AF">
        <w:rPr>
          <w:rFonts w:asciiTheme="minorHAnsi" w:hAnsiTheme="minorHAnsi"/>
          <w:szCs w:val="24"/>
          <w:u w:val="single"/>
          <w:lang w:eastAsia="en-GB"/>
        </w:rPr>
        <w:t xml:space="preserve">D. </w:t>
      </w:r>
      <w:r w:rsidR="00640ACE" w:rsidRPr="006E37AF">
        <w:rPr>
          <w:rFonts w:asciiTheme="minorHAnsi" w:hAnsiTheme="minorHAnsi"/>
          <w:szCs w:val="24"/>
          <w:u w:val="single"/>
          <w:lang w:eastAsia="en-GB"/>
        </w:rPr>
        <w:t xml:space="preserve">EU legislation </w:t>
      </w:r>
      <w:r w:rsidR="000E3F37" w:rsidRPr="006E37AF">
        <w:rPr>
          <w:rFonts w:asciiTheme="minorHAnsi" w:hAnsiTheme="minorHAnsi"/>
          <w:szCs w:val="24"/>
          <w:u w:val="single"/>
          <w:lang w:eastAsia="en-GB"/>
        </w:rPr>
        <w:t xml:space="preserve">to </w:t>
      </w:r>
      <w:r w:rsidRPr="006E37AF">
        <w:rPr>
          <w:rFonts w:asciiTheme="minorHAnsi" w:hAnsiTheme="minorHAnsi"/>
          <w:szCs w:val="24"/>
          <w:u w:val="single"/>
          <w:lang w:eastAsia="en-GB"/>
        </w:rPr>
        <w:t>safeguard</w:t>
      </w:r>
      <w:r w:rsidR="000E3F37" w:rsidRPr="006E37AF">
        <w:rPr>
          <w:rFonts w:asciiTheme="minorHAnsi" w:hAnsiTheme="minorHAnsi"/>
          <w:szCs w:val="24"/>
          <w:u w:val="single"/>
          <w:lang w:eastAsia="en-GB"/>
        </w:rPr>
        <w:t xml:space="preserve"> </w:t>
      </w:r>
      <w:r w:rsidR="00640ACE" w:rsidRPr="006E37AF">
        <w:rPr>
          <w:rFonts w:asciiTheme="minorHAnsi" w:hAnsiTheme="minorHAnsi"/>
          <w:szCs w:val="24"/>
          <w:u w:val="single"/>
          <w:lang w:eastAsia="en-GB"/>
        </w:rPr>
        <w:t xml:space="preserve">the </w:t>
      </w:r>
      <w:r w:rsidR="000E3F37" w:rsidRPr="006E37AF">
        <w:rPr>
          <w:rFonts w:asciiTheme="minorHAnsi" w:hAnsiTheme="minorHAnsi"/>
          <w:szCs w:val="24"/>
          <w:u w:val="single"/>
          <w:lang w:eastAsia="en-GB"/>
        </w:rPr>
        <w:t>rights of people subject to an EAW</w:t>
      </w:r>
      <w:r w:rsidR="000E3F37" w:rsidRPr="0036386E">
        <w:rPr>
          <w:rFonts w:asciiTheme="minorHAnsi" w:hAnsiTheme="minorHAnsi"/>
          <w:szCs w:val="24"/>
          <w:u w:val="single"/>
          <w:lang w:eastAsia="en-GB"/>
        </w:rPr>
        <w:t xml:space="preserve"> </w:t>
      </w:r>
    </w:p>
    <w:p w:rsidR="000E3F37" w:rsidRPr="0036386E" w:rsidRDefault="000E3F37" w:rsidP="000E3F37">
      <w:pPr>
        <w:spacing w:before="100" w:beforeAutospacing="1" w:after="100" w:afterAutospacing="1"/>
        <w:jc w:val="left"/>
        <w:rPr>
          <w:rFonts w:asciiTheme="minorHAnsi" w:hAnsiTheme="minorHAnsi"/>
          <w:szCs w:val="24"/>
          <w:lang w:eastAsia="en-GB"/>
        </w:rPr>
      </w:pPr>
      <w:r w:rsidRPr="006E37AF">
        <w:rPr>
          <w:rFonts w:asciiTheme="minorHAnsi" w:hAnsiTheme="minorHAnsi"/>
          <w:szCs w:val="24"/>
          <w:lang w:eastAsia="en-GB"/>
        </w:rPr>
        <w:t xml:space="preserve">1) </w:t>
      </w:r>
      <w:r w:rsidRPr="0036386E">
        <w:rPr>
          <w:rFonts w:asciiTheme="minorHAnsi" w:hAnsiTheme="minorHAnsi"/>
          <w:szCs w:val="24"/>
          <w:lang w:eastAsia="en-GB"/>
        </w:rPr>
        <w:t xml:space="preserve">Directive </w:t>
      </w:r>
      <w:hyperlink r:id="rId14" w:history="1">
        <w:r w:rsidRPr="006E37AF">
          <w:rPr>
            <w:rFonts w:asciiTheme="minorHAnsi" w:hAnsiTheme="minorHAnsi"/>
            <w:color w:val="0000FF"/>
            <w:szCs w:val="24"/>
            <w:u w:val="single"/>
            <w:lang w:eastAsia="en-GB"/>
          </w:rPr>
          <w:t>2010/64/EU</w:t>
        </w:r>
      </w:hyperlink>
      <w:r w:rsidRPr="0036386E">
        <w:rPr>
          <w:rFonts w:asciiTheme="minorHAnsi" w:hAnsiTheme="minorHAnsi"/>
          <w:szCs w:val="24"/>
          <w:lang w:eastAsia="en-GB"/>
        </w:rPr>
        <w:t xml:space="preserve"> on the right to translation and interpretation in criminal proceedings</w:t>
      </w:r>
      <w:r w:rsidR="00531EA6" w:rsidRPr="0036386E">
        <w:rPr>
          <w:rFonts w:asciiTheme="minorHAnsi" w:hAnsiTheme="minorHAnsi"/>
          <w:szCs w:val="24"/>
          <w:lang w:eastAsia="en-GB"/>
        </w:rPr>
        <w:t>; (</w:t>
      </w:r>
      <w:hyperlink r:id="rId15" w:history="1">
        <w:r w:rsidRPr="006E37AF">
          <w:rPr>
            <w:rFonts w:asciiTheme="minorHAnsi" w:hAnsiTheme="minorHAnsi"/>
            <w:color w:val="0000FF"/>
            <w:szCs w:val="24"/>
            <w:u w:val="single"/>
            <w:lang w:eastAsia="en-GB"/>
          </w:rPr>
          <w:t>Official Journal L 280 of 26.10.2010, pp. 1-7</w:t>
        </w:r>
      </w:hyperlink>
      <w:r w:rsidRPr="0036386E">
        <w:rPr>
          <w:rFonts w:asciiTheme="minorHAnsi" w:hAnsiTheme="minorHAnsi"/>
          <w:szCs w:val="24"/>
          <w:lang w:eastAsia="en-GB"/>
        </w:rPr>
        <w:t>).</w:t>
      </w:r>
    </w:p>
    <w:p w:rsidR="000E3F37" w:rsidRPr="0036386E" w:rsidRDefault="000E3F37" w:rsidP="000E3F37">
      <w:pPr>
        <w:spacing w:before="100" w:beforeAutospacing="1" w:after="100" w:afterAutospacing="1"/>
        <w:jc w:val="left"/>
        <w:rPr>
          <w:rFonts w:asciiTheme="minorHAnsi" w:hAnsiTheme="minorHAnsi"/>
          <w:szCs w:val="24"/>
          <w:lang w:eastAsia="en-GB"/>
        </w:rPr>
      </w:pPr>
      <w:r w:rsidRPr="006E37AF">
        <w:rPr>
          <w:rFonts w:asciiTheme="minorHAnsi" w:hAnsiTheme="minorHAnsi"/>
          <w:szCs w:val="24"/>
          <w:lang w:eastAsia="en-GB"/>
        </w:rPr>
        <w:t xml:space="preserve">2) </w:t>
      </w:r>
      <w:r w:rsidRPr="0036386E">
        <w:rPr>
          <w:rFonts w:asciiTheme="minorHAnsi" w:hAnsiTheme="minorHAnsi"/>
          <w:szCs w:val="24"/>
          <w:lang w:eastAsia="en-GB"/>
        </w:rPr>
        <w:t xml:space="preserve">Directive </w:t>
      </w:r>
      <w:hyperlink r:id="rId16" w:history="1">
        <w:r w:rsidRPr="006E37AF">
          <w:rPr>
            <w:rFonts w:asciiTheme="minorHAnsi" w:hAnsiTheme="minorHAnsi"/>
            <w:color w:val="0000FF"/>
            <w:szCs w:val="24"/>
            <w:u w:val="single"/>
            <w:lang w:eastAsia="en-GB"/>
          </w:rPr>
          <w:t>2012/13/EU</w:t>
        </w:r>
      </w:hyperlink>
      <w:r w:rsidRPr="0036386E">
        <w:rPr>
          <w:rFonts w:asciiTheme="minorHAnsi" w:hAnsiTheme="minorHAnsi"/>
          <w:szCs w:val="24"/>
          <w:lang w:eastAsia="en-GB"/>
        </w:rPr>
        <w:t xml:space="preserve"> on the right of subjects to be informed of their rights; (</w:t>
      </w:r>
      <w:hyperlink r:id="rId17" w:history="1">
        <w:r w:rsidRPr="006E37AF">
          <w:rPr>
            <w:rFonts w:asciiTheme="minorHAnsi" w:hAnsiTheme="minorHAnsi"/>
            <w:color w:val="0000FF"/>
            <w:szCs w:val="24"/>
            <w:u w:val="single"/>
            <w:lang w:eastAsia="en-GB"/>
          </w:rPr>
          <w:t>Official Journal L 142 of 1.6.2012, pp. 1-10</w:t>
        </w:r>
      </w:hyperlink>
      <w:r w:rsidRPr="0036386E">
        <w:rPr>
          <w:rFonts w:asciiTheme="minorHAnsi" w:hAnsiTheme="minorHAnsi"/>
          <w:szCs w:val="24"/>
          <w:lang w:eastAsia="en-GB"/>
        </w:rPr>
        <w:t>).</w:t>
      </w:r>
    </w:p>
    <w:p w:rsidR="0036386E" w:rsidRDefault="000E3F37" w:rsidP="0036386E">
      <w:pPr>
        <w:spacing w:before="100" w:beforeAutospacing="1" w:after="100" w:afterAutospacing="1"/>
        <w:jc w:val="left"/>
        <w:rPr>
          <w:rFonts w:asciiTheme="minorHAnsi" w:hAnsiTheme="minorHAnsi"/>
          <w:szCs w:val="24"/>
          <w:lang w:eastAsia="en-GB"/>
        </w:rPr>
      </w:pPr>
      <w:r w:rsidRPr="006E37AF">
        <w:rPr>
          <w:rFonts w:asciiTheme="minorHAnsi" w:hAnsiTheme="minorHAnsi"/>
          <w:szCs w:val="24"/>
          <w:lang w:eastAsia="en-GB"/>
        </w:rPr>
        <w:t xml:space="preserve">3) </w:t>
      </w:r>
      <w:r w:rsidRPr="0036386E">
        <w:rPr>
          <w:rFonts w:asciiTheme="minorHAnsi" w:hAnsiTheme="minorHAnsi"/>
          <w:szCs w:val="24"/>
          <w:lang w:eastAsia="en-GB"/>
        </w:rPr>
        <w:t xml:space="preserve">Directive </w:t>
      </w:r>
      <w:hyperlink r:id="rId18" w:history="1">
        <w:r w:rsidRPr="006E37AF">
          <w:rPr>
            <w:rFonts w:asciiTheme="minorHAnsi" w:hAnsiTheme="minorHAnsi"/>
            <w:color w:val="0000FF"/>
            <w:szCs w:val="24"/>
            <w:u w:val="single"/>
            <w:lang w:eastAsia="en-GB"/>
          </w:rPr>
          <w:t>2013/48/EU</w:t>
        </w:r>
      </w:hyperlink>
      <w:r w:rsidRPr="0036386E">
        <w:rPr>
          <w:rFonts w:asciiTheme="minorHAnsi" w:hAnsiTheme="minorHAnsi"/>
          <w:szCs w:val="24"/>
          <w:lang w:eastAsia="en-GB"/>
        </w:rPr>
        <w:t xml:space="preserve"> on the right to have access to a lawyer and the right of persons in custody to communicate with family members and employers. </w:t>
      </w:r>
      <w:r w:rsidRPr="006E37AF">
        <w:rPr>
          <w:rFonts w:asciiTheme="minorHAnsi" w:hAnsiTheme="minorHAnsi"/>
          <w:szCs w:val="24"/>
          <w:lang w:eastAsia="en-GB"/>
        </w:rPr>
        <w:t xml:space="preserve"> </w:t>
      </w:r>
      <w:r w:rsidR="0036386E" w:rsidRPr="0036386E">
        <w:rPr>
          <w:rFonts w:asciiTheme="minorHAnsi" w:hAnsiTheme="minorHAnsi"/>
          <w:szCs w:val="24"/>
          <w:lang w:eastAsia="en-GB"/>
        </w:rPr>
        <w:t>(</w:t>
      </w:r>
      <w:hyperlink r:id="rId19" w:history="1">
        <w:r w:rsidR="0036386E" w:rsidRPr="006E37AF">
          <w:rPr>
            <w:rFonts w:asciiTheme="minorHAnsi" w:hAnsiTheme="minorHAnsi"/>
            <w:color w:val="0000FF"/>
            <w:szCs w:val="24"/>
            <w:u w:val="single"/>
            <w:lang w:eastAsia="en-GB"/>
          </w:rPr>
          <w:t>Official Journal L 294 of 6.11.2013, pp. 1-12</w:t>
        </w:r>
      </w:hyperlink>
      <w:r w:rsidR="0036386E" w:rsidRPr="0036386E">
        <w:rPr>
          <w:rFonts w:asciiTheme="minorHAnsi" w:hAnsiTheme="minorHAnsi"/>
          <w:szCs w:val="24"/>
          <w:lang w:eastAsia="en-GB"/>
        </w:rPr>
        <w:t>).</w:t>
      </w:r>
    </w:p>
    <w:p w:rsidR="006E2391" w:rsidRDefault="006E2391" w:rsidP="0036386E">
      <w:pPr>
        <w:spacing w:before="100" w:beforeAutospacing="1" w:after="100" w:afterAutospacing="1"/>
        <w:jc w:val="left"/>
        <w:rPr>
          <w:rFonts w:asciiTheme="minorHAnsi" w:hAnsiTheme="minorHAnsi"/>
          <w:szCs w:val="24"/>
          <w:lang w:eastAsia="en-GB"/>
        </w:rPr>
      </w:pPr>
    </w:p>
    <w:p w:rsidR="006E2391" w:rsidRPr="00A52A9F" w:rsidRDefault="006E2391" w:rsidP="0036386E">
      <w:pPr>
        <w:spacing w:before="100" w:beforeAutospacing="1" w:after="100" w:afterAutospacing="1"/>
        <w:jc w:val="left"/>
        <w:rPr>
          <w:rFonts w:asciiTheme="minorHAnsi" w:hAnsiTheme="minorHAnsi"/>
          <w:szCs w:val="24"/>
          <w:u w:val="single"/>
          <w:lang w:eastAsia="en-GB"/>
        </w:rPr>
      </w:pPr>
      <w:r w:rsidRPr="00A52A9F">
        <w:rPr>
          <w:rFonts w:asciiTheme="minorHAnsi" w:hAnsiTheme="minorHAnsi"/>
          <w:szCs w:val="24"/>
          <w:u w:val="single"/>
          <w:lang w:eastAsia="en-GB"/>
        </w:rPr>
        <w:t>E. EFTA/EEA countries</w:t>
      </w:r>
    </w:p>
    <w:p w:rsidR="006E2391" w:rsidRPr="00A52A9F" w:rsidRDefault="006E2391" w:rsidP="006E2391">
      <w:pPr>
        <w:spacing w:before="100" w:beforeAutospacing="1" w:after="100" w:afterAutospacing="1"/>
        <w:rPr>
          <w:rFonts w:asciiTheme="minorHAnsi" w:hAnsiTheme="minorHAnsi"/>
          <w:szCs w:val="24"/>
          <w:lang w:eastAsia="en-GB"/>
        </w:rPr>
      </w:pPr>
      <w:r w:rsidRPr="00A52A9F">
        <w:rPr>
          <w:rFonts w:asciiTheme="minorHAnsi" w:hAnsiTheme="minorHAnsi"/>
          <w:szCs w:val="24"/>
          <w:lang w:eastAsia="en-GB"/>
        </w:rPr>
        <w:t xml:space="preserve">Ever since the EAW entered into force, there have been discussion between the European Commission and Norway, Iceland and Switzerland about extending its use to those countries. After lengthy negotiations, Norway and Iceland have been accepted into the EAW system. The legislation is in place as of 2016, but the technical details are still being worked out. </w:t>
      </w:r>
    </w:p>
    <w:p w:rsidR="006E2391" w:rsidRPr="00A52A9F" w:rsidRDefault="00675D09" w:rsidP="0036386E">
      <w:pPr>
        <w:spacing w:before="100" w:beforeAutospacing="1" w:after="100" w:afterAutospacing="1"/>
        <w:jc w:val="left"/>
        <w:rPr>
          <w:rFonts w:asciiTheme="minorHAnsi" w:hAnsiTheme="minorHAnsi"/>
          <w:szCs w:val="24"/>
          <w:lang w:eastAsia="en-GB"/>
        </w:rPr>
      </w:pPr>
      <w:hyperlink r:id="rId20" w:tgtFrame="_blank" w:history="1">
        <w:r w:rsidR="006E2391" w:rsidRPr="00A52A9F">
          <w:rPr>
            <w:rStyle w:val="Hyperlink"/>
          </w:rPr>
          <w:t>http://icelandmonitor.mbl.is/news/politics_and_society/2016/05/31/iceland_joins_european_arrest_warrant/</w:t>
        </w:r>
      </w:hyperlink>
    </w:p>
    <w:p w:rsidR="0036386E" w:rsidRPr="00A52A9F" w:rsidRDefault="0036386E" w:rsidP="002C75D9">
      <w:pPr>
        <w:rPr>
          <w:rFonts w:asciiTheme="minorHAnsi" w:hAnsiTheme="minorHAnsi"/>
          <w:szCs w:val="24"/>
        </w:rPr>
      </w:pPr>
    </w:p>
    <w:p w:rsidR="006E2391" w:rsidRPr="006E37AF" w:rsidRDefault="006E2391" w:rsidP="002C75D9">
      <w:pPr>
        <w:rPr>
          <w:rFonts w:asciiTheme="minorHAnsi" w:hAnsiTheme="minorHAnsi"/>
          <w:szCs w:val="24"/>
        </w:rPr>
      </w:pPr>
      <w:r w:rsidRPr="00A52A9F">
        <w:rPr>
          <w:rFonts w:asciiTheme="minorHAnsi" w:hAnsiTheme="minorHAnsi"/>
          <w:szCs w:val="24"/>
        </w:rPr>
        <w:t>The discussion</w:t>
      </w:r>
      <w:r w:rsidR="006E3E12" w:rsidRPr="00A52A9F">
        <w:rPr>
          <w:rFonts w:asciiTheme="minorHAnsi" w:hAnsiTheme="minorHAnsi"/>
          <w:szCs w:val="24"/>
        </w:rPr>
        <w:t>s</w:t>
      </w:r>
      <w:r w:rsidRPr="00A52A9F">
        <w:rPr>
          <w:rFonts w:asciiTheme="minorHAnsi" w:hAnsiTheme="minorHAnsi"/>
          <w:szCs w:val="24"/>
        </w:rPr>
        <w:t xml:space="preserve"> with Switzerland are still ongoing.</w:t>
      </w:r>
      <w:r w:rsidR="006E3E12" w:rsidRPr="00A52A9F">
        <w:rPr>
          <w:rFonts w:asciiTheme="minorHAnsi" w:hAnsiTheme="minorHAnsi"/>
          <w:szCs w:val="24"/>
        </w:rPr>
        <w:t xml:space="preserve"> Because it relies on a system of mutual trust, the EAW can only apply in countries that are signatories of the European Convention of Human Rights. There is now a substantial body of EU legislation on defence rights (see D above) and in order for the EAW to apply, the European Commission considers that only countries that comply with EU standards on procedural safeguards should be eligible to use the EAW.</w:t>
      </w:r>
    </w:p>
    <w:p w:rsidR="00675D09" w:rsidRDefault="00675D09" w:rsidP="00675D09">
      <w:pPr>
        <w:pStyle w:val="Contact"/>
        <w:rPr>
          <w:rFonts w:asciiTheme="minorHAnsi" w:hAnsiTheme="minorHAnsi"/>
          <w:szCs w:val="24"/>
          <w:lang w:val="it-IT"/>
        </w:rPr>
      </w:pPr>
      <w:r>
        <w:rPr>
          <w:rFonts w:asciiTheme="minorHAnsi" w:hAnsiTheme="minorHAnsi"/>
          <w:szCs w:val="24"/>
        </w:rPr>
        <w:lastRenderedPageBreak/>
        <w:t xml:space="preserve">Document prepared by </w:t>
      </w:r>
      <w:r>
        <w:rPr>
          <w:rFonts w:asciiTheme="minorHAnsi" w:hAnsiTheme="minorHAnsi"/>
          <w:szCs w:val="24"/>
          <w:lang w:val="it-IT"/>
        </w:rPr>
        <w:t xml:space="preserve">European </w:t>
      </w:r>
      <w:proofErr w:type="gramStart"/>
      <w:r>
        <w:rPr>
          <w:rFonts w:asciiTheme="minorHAnsi" w:hAnsiTheme="minorHAnsi"/>
          <w:szCs w:val="24"/>
          <w:lang w:val="it-IT"/>
        </w:rPr>
        <w:t>Commission ,</w:t>
      </w:r>
      <w:proofErr w:type="gramEnd"/>
      <w:r>
        <w:rPr>
          <w:rFonts w:asciiTheme="minorHAnsi" w:hAnsiTheme="minorHAnsi"/>
          <w:szCs w:val="24"/>
          <w:lang w:val="it-IT"/>
        </w:rPr>
        <w:t xml:space="preserve"> </w:t>
      </w:r>
      <w:r w:rsidRPr="00C0663E">
        <w:rPr>
          <w:rFonts w:asciiTheme="minorHAnsi" w:hAnsiTheme="minorHAnsi"/>
          <w:szCs w:val="24"/>
          <w:lang w:val="it-IT"/>
        </w:rPr>
        <w:t xml:space="preserve">London </w:t>
      </w:r>
      <w:r>
        <w:rPr>
          <w:rFonts w:asciiTheme="minorHAnsi" w:hAnsiTheme="minorHAnsi"/>
          <w:szCs w:val="24"/>
          <w:lang w:val="it-IT"/>
        </w:rPr>
        <w:t>R</w:t>
      </w:r>
      <w:r w:rsidRPr="00C0663E">
        <w:rPr>
          <w:rFonts w:asciiTheme="minorHAnsi" w:hAnsiTheme="minorHAnsi"/>
          <w:szCs w:val="24"/>
          <w:lang w:val="it-IT"/>
        </w:rPr>
        <w:t>epresentati</w:t>
      </w:r>
      <w:r>
        <w:rPr>
          <w:rFonts w:asciiTheme="minorHAnsi" w:hAnsiTheme="minorHAnsi"/>
          <w:szCs w:val="24"/>
          <w:lang w:val="it-IT"/>
        </w:rPr>
        <w:t xml:space="preserve">on. </w:t>
      </w:r>
    </w:p>
    <w:p w:rsidR="00B22EAD" w:rsidRPr="006E37AF" w:rsidRDefault="00B22EAD">
      <w:pPr>
        <w:pStyle w:val="Contact"/>
        <w:rPr>
          <w:rFonts w:asciiTheme="minorHAnsi" w:hAnsiTheme="minorHAnsi"/>
          <w:szCs w:val="24"/>
        </w:rPr>
      </w:pPr>
      <w:r w:rsidRPr="006E37AF">
        <w:rPr>
          <w:rFonts w:asciiTheme="minorHAnsi" w:hAnsiTheme="minorHAnsi"/>
          <w:szCs w:val="24"/>
        </w:rPr>
        <w:t>For further help or information contact:</w:t>
      </w:r>
    </w:p>
    <w:p w:rsidR="00675D09" w:rsidRPr="00675D09" w:rsidRDefault="00675D09" w:rsidP="00675D09">
      <w:pPr>
        <w:pStyle w:val="ListParagraph"/>
        <w:rPr>
          <w:rFonts w:asciiTheme="minorHAnsi" w:hAnsiTheme="minorHAnsi" w:cs="Arial"/>
          <w:color w:val="000000"/>
          <w:szCs w:val="24"/>
          <w:lang w:eastAsia="en-GB"/>
        </w:rPr>
      </w:pPr>
    </w:p>
    <w:p w:rsidR="00675D09" w:rsidRDefault="006E37AF" w:rsidP="00675D09">
      <w:pPr>
        <w:pStyle w:val="ListParagraph"/>
        <w:numPr>
          <w:ilvl w:val="0"/>
          <w:numId w:val="34"/>
        </w:numPr>
        <w:rPr>
          <w:rFonts w:asciiTheme="minorHAnsi" w:hAnsiTheme="minorHAnsi" w:cs="Arial"/>
          <w:color w:val="000000"/>
          <w:szCs w:val="24"/>
          <w:lang w:eastAsia="en-GB"/>
        </w:rPr>
      </w:pPr>
      <w:r w:rsidRPr="006E37AF">
        <w:rPr>
          <w:rFonts w:asciiTheme="minorHAnsi" w:hAnsiTheme="minorHAnsi"/>
          <w:szCs w:val="24"/>
        </w:rPr>
        <w:t xml:space="preserve">The NGO </w:t>
      </w:r>
      <w:hyperlink r:id="rId21" w:history="1">
        <w:r w:rsidRPr="006E37AF">
          <w:rPr>
            <w:rStyle w:val="Hyperlink"/>
            <w:rFonts w:asciiTheme="minorHAnsi" w:hAnsiTheme="minorHAnsi"/>
            <w:szCs w:val="24"/>
          </w:rPr>
          <w:t>Fair Trials</w:t>
        </w:r>
      </w:hyperlink>
      <w:r w:rsidRPr="006E37AF">
        <w:rPr>
          <w:rFonts w:asciiTheme="minorHAnsi" w:hAnsiTheme="minorHAnsi"/>
          <w:szCs w:val="24"/>
        </w:rPr>
        <w:t xml:space="preserve"> works on EAW cases and is able to help people who are wrongly the subject of an EAW. </w:t>
      </w:r>
      <w:r w:rsidRPr="006E37AF">
        <w:rPr>
          <w:rFonts w:asciiTheme="minorHAnsi" w:hAnsiTheme="minorHAnsi" w:cs="Arial"/>
          <w:color w:val="000000"/>
          <w:szCs w:val="24"/>
          <w:lang w:eastAsia="en-GB"/>
        </w:rPr>
        <w:t xml:space="preserve">Alex Mik, Campaigns and Communications Manager with Fair Trials has kindly agreed to help with the project and may be contacted for assistance by delegations. </w:t>
      </w:r>
      <w:hyperlink r:id="rId22" w:history="1">
        <w:r w:rsidRPr="006E37AF">
          <w:rPr>
            <w:rStyle w:val="Hyperlink"/>
            <w:rFonts w:asciiTheme="minorHAnsi" w:hAnsiTheme="minorHAnsi" w:cs="Arial"/>
            <w:szCs w:val="24"/>
            <w:lang w:eastAsia="en-GB"/>
          </w:rPr>
          <w:t>Alex.mik@fairtrials.net</w:t>
        </w:r>
      </w:hyperlink>
      <w:r w:rsidRPr="006E37AF">
        <w:rPr>
          <w:rFonts w:asciiTheme="minorHAnsi" w:hAnsiTheme="minorHAnsi" w:cs="Arial"/>
          <w:color w:val="000000"/>
          <w:szCs w:val="24"/>
          <w:lang w:eastAsia="en-GB"/>
        </w:rPr>
        <w:t xml:space="preserve">  Tel: +44 (0)20 7822 2370</w:t>
      </w:r>
    </w:p>
    <w:p w:rsidR="00675D09" w:rsidRPr="00675D09" w:rsidRDefault="00675D09" w:rsidP="00675D09">
      <w:pPr>
        <w:rPr>
          <w:rFonts w:asciiTheme="minorHAnsi" w:hAnsiTheme="minorHAnsi" w:cs="Arial"/>
          <w:color w:val="000000"/>
          <w:szCs w:val="24"/>
          <w:lang w:eastAsia="en-GB"/>
        </w:rPr>
      </w:pPr>
      <w:r w:rsidRPr="00675D09">
        <w:rPr>
          <w:rFonts w:asciiTheme="minorHAnsi" w:hAnsiTheme="minorHAnsi"/>
          <w:szCs w:val="24"/>
          <w:lang w:val="it-IT"/>
        </w:rPr>
        <w:t>For further information on a specific country please contact the relevant Embassy.</w:t>
      </w:r>
    </w:p>
    <w:p w:rsidR="00644021" w:rsidRPr="00675D09" w:rsidRDefault="00644021" w:rsidP="00675D09">
      <w:pPr>
        <w:rPr>
          <w:rFonts w:asciiTheme="minorHAnsi" w:hAnsiTheme="minorHAnsi"/>
          <w:szCs w:val="24"/>
        </w:rPr>
      </w:pPr>
      <w:bookmarkStart w:id="0" w:name="_GoBack"/>
      <w:bookmarkEnd w:id="0"/>
    </w:p>
    <w:p w:rsidR="00B22EAD" w:rsidRPr="006E37AF" w:rsidRDefault="00B22EAD" w:rsidP="00B22EAD">
      <w:pPr>
        <w:rPr>
          <w:rFonts w:asciiTheme="minorHAnsi" w:hAnsiTheme="minorHAnsi"/>
          <w:szCs w:val="24"/>
        </w:rPr>
      </w:pPr>
    </w:p>
    <w:p w:rsidR="00B22EAD" w:rsidRPr="006E37AF" w:rsidRDefault="00B22EAD" w:rsidP="00B22EAD">
      <w:pPr>
        <w:rPr>
          <w:rFonts w:asciiTheme="minorHAnsi" w:hAnsiTheme="minorHAnsi"/>
          <w:szCs w:val="24"/>
        </w:rPr>
      </w:pPr>
    </w:p>
    <w:sectPr w:rsidR="00B22EAD" w:rsidRPr="006E37AF" w:rsidSect="00D75B01">
      <w:footerReference w:type="default" r:id="rId23"/>
      <w:headerReference w:type="first" r:id="rId24"/>
      <w:footerReference w:type="first" r:id="rId25"/>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B1E" w:rsidRDefault="000C4B1E" w:rsidP="00531EA6">
      <w:pPr>
        <w:spacing w:after="0"/>
      </w:pPr>
      <w:r>
        <w:separator/>
      </w:r>
    </w:p>
  </w:endnote>
  <w:endnote w:type="continuationSeparator" w:id="0">
    <w:p w:rsidR="000C4B1E" w:rsidRDefault="000C4B1E" w:rsidP="00531E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B848AF">
    <w:pPr>
      <w:pStyle w:val="Footer"/>
      <w:jc w:val="center"/>
    </w:pPr>
    <w:r>
      <w:fldChar w:fldCharType="begin"/>
    </w:r>
    <w:r>
      <w:instrText>PAGE</w:instrText>
    </w:r>
    <w:r>
      <w:fldChar w:fldCharType="separate"/>
    </w:r>
    <w:r w:rsidR="00675D09">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675D09">
    <w:pPr>
      <w:pStyle w:val="Footer"/>
      <w:rPr>
        <w:sz w:val="24"/>
        <w:szCs w:val="24"/>
        <w:lang w:val="en-US"/>
      </w:rPr>
    </w:pPr>
  </w:p>
  <w:p w:rsidR="000343C9" w:rsidRPr="00531EA6" w:rsidRDefault="00B848AF" w:rsidP="00531EA6">
    <w:pPr>
      <w:pStyle w:val="Footer"/>
    </w:pPr>
    <w:r w:rsidRPr="00531EA6">
      <w:rPr>
        <w:sz w:val="12"/>
        <w:szCs w:val="12"/>
      </w:rPr>
      <w:t>European Commission</w:t>
    </w:r>
    <w:r w:rsidR="00531EA6" w:rsidRPr="00531EA6">
      <w:rPr>
        <w:sz w:val="12"/>
        <w:szCs w:val="12"/>
      </w:rPr>
      <w:t xml:space="preserve"> Representation in the UK</w:t>
    </w:r>
    <w:r w:rsidR="00531EA6">
      <w:rPr>
        <w:sz w:val="12"/>
        <w:szCs w:val="12"/>
      </w:rPr>
      <w:t xml:space="preserve"> – Europe House – 32 Smith Square – London SW1P 3EU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B1E" w:rsidRDefault="000C4B1E" w:rsidP="00531EA6">
      <w:pPr>
        <w:spacing w:after="0"/>
      </w:pPr>
      <w:r>
        <w:separator/>
      </w:r>
    </w:p>
  </w:footnote>
  <w:footnote w:type="continuationSeparator" w:id="0">
    <w:p w:rsidR="000C4B1E" w:rsidRDefault="000C4B1E" w:rsidP="00531E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C9" w:rsidRDefault="00675D09">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F527B9F"/>
    <w:multiLevelType w:val="multilevel"/>
    <w:tmpl w:val="CFD8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nsid w:val="16783A06"/>
    <w:multiLevelType w:val="multilevel"/>
    <w:tmpl w:val="7586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nsid w:val="252416AF"/>
    <w:multiLevelType w:val="multilevel"/>
    <w:tmpl w:val="C6BE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3">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18">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0">
    <w:nsid w:val="5D0C6683"/>
    <w:multiLevelType w:val="multilevel"/>
    <w:tmpl w:val="D59C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3">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4">
    <w:nsid w:val="6BE1686D"/>
    <w:multiLevelType w:val="hybridMultilevel"/>
    <w:tmpl w:val="8694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6">
    <w:nsid w:val="774F6472"/>
    <w:multiLevelType w:val="multilevel"/>
    <w:tmpl w:val="7A2C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CC2252"/>
    <w:multiLevelType w:val="multilevel"/>
    <w:tmpl w:val="C7A6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8"/>
  </w:num>
  <w:num w:numId="4">
    <w:abstractNumId w:val="19"/>
  </w:num>
  <w:num w:numId="5">
    <w:abstractNumId w:val="12"/>
  </w:num>
  <w:num w:numId="6">
    <w:abstractNumId w:val="9"/>
  </w:num>
  <w:num w:numId="7">
    <w:abstractNumId w:val="5"/>
  </w:num>
  <w:num w:numId="8">
    <w:abstractNumId w:val="4"/>
  </w:num>
  <w:num w:numId="9">
    <w:abstractNumId w:val="21"/>
  </w:num>
  <w:num w:numId="10">
    <w:abstractNumId w:val="23"/>
  </w:num>
  <w:num w:numId="11">
    <w:abstractNumId w:val="22"/>
  </w:num>
  <w:num w:numId="12">
    <w:abstractNumId w:val="25"/>
  </w:num>
  <w:num w:numId="13">
    <w:abstractNumId w:val="7"/>
  </w:num>
  <w:num w:numId="14">
    <w:abstractNumId w:val="13"/>
  </w:num>
  <w:num w:numId="15">
    <w:abstractNumId w:val="15"/>
  </w:num>
  <w:num w:numId="16">
    <w:abstractNumId w:val="14"/>
  </w:num>
  <w:num w:numId="17">
    <w:abstractNumId w:val="2"/>
  </w:num>
  <w:num w:numId="18">
    <w:abstractNumId w:val="16"/>
  </w:num>
  <w:num w:numId="19">
    <w:abstractNumId w:val="10"/>
  </w:num>
  <w:num w:numId="20">
    <w:abstractNumId w:val="17"/>
  </w:num>
  <w:num w:numId="21">
    <w:abstractNumId w:val="11"/>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26"/>
  </w:num>
  <w:num w:numId="29">
    <w:abstractNumId w:val="20"/>
  </w:num>
  <w:num w:numId="30">
    <w:abstractNumId w:val="8"/>
  </w:num>
  <w:num w:numId="31">
    <w:abstractNumId w:val="3"/>
  </w:num>
  <w:num w:numId="32">
    <w:abstractNumId w:val="27"/>
  </w:num>
  <w:num w:numId="33">
    <w:abstractNumId w:val="6"/>
  </w:num>
  <w:num w:numId="34">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FE"/>
    <w:rsid w:val="000C4B1E"/>
    <w:rsid w:val="000E3F37"/>
    <w:rsid w:val="000F4C1D"/>
    <w:rsid w:val="001529DE"/>
    <w:rsid w:val="00296AA9"/>
    <w:rsid w:val="002C75D9"/>
    <w:rsid w:val="0036386E"/>
    <w:rsid w:val="00531EA6"/>
    <w:rsid w:val="0057757E"/>
    <w:rsid w:val="00640ACE"/>
    <w:rsid w:val="00644021"/>
    <w:rsid w:val="00675D09"/>
    <w:rsid w:val="006E2391"/>
    <w:rsid w:val="006E37AF"/>
    <w:rsid w:val="006E3E12"/>
    <w:rsid w:val="008700FE"/>
    <w:rsid w:val="00A52A9F"/>
    <w:rsid w:val="00B14AE9"/>
    <w:rsid w:val="00B22EAD"/>
    <w:rsid w:val="00B848AF"/>
    <w:rsid w:val="00CA6EC5"/>
    <w:rsid w:val="00E620CF"/>
    <w:rsid w:val="00F8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8700FE"/>
    <w:rPr>
      <w:rFonts w:ascii="Arial" w:hAnsi="Arial"/>
      <w:sz w:val="16"/>
      <w:lang w:eastAsia="en-US"/>
    </w:rPr>
  </w:style>
  <w:style w:type="character" w:customStyle="1" w:styleId="DateChar">
    <w:name w:val="Date Char"/>
    <w:basedOn w:val="DefaultParagraphFont"/>
    <w:link w:val="Date"/>
    <w:uiPriority w:val="99"/>
    <w:locked/>
    <w:rsid w:val="008700FE"/>
    <w:rPr>
      <w:sz w:val="24"/>
      <w:lang w:eastAsia="en-US"/>
    </w:rPr>
  </w:style>
  <w:style w:type="character" w:customStyle="1" w:styleId="SignatureChar">
    <w:name w:val="Signature Char"/>
    <w:basedOn w:val="DefaultParagraphFont"/>
    <w:link w:val="Signature"/>
    <w:uiPriority w:val="99"/>
    <w:locked/>
    <w:rsid w:val="008700FE"/>
    <w:rPr>
      <w:sz w:val="24"/>
      <w:lang w:eastAsia="en-US"/>
    </w:rPr>
  </w:style>
  <w:style w:type="paragraph" w:customStyle="1" w:styleId="ZCom">
    <w:name w:val="Z_Com"/>
    <w:basedOn w:val="Normal"/>
    <w:next w:val="ZDGName"/>
    <w:uiPriority w:val="99"/>
    <w:rsid w:val="008700FE"/>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8700FE"/>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8700FE"/>
    <w:rPr>
      <w:sz w:val="24"/>
      <w:lang w:eastAsia="en-US"/>
    </w:rPr>
  </w:style>
  <w:style w:type="paragraph" w:customStyle="1" w:styleId="ti-chapter">
    <w:name w:val="ti-chapter"/>
    <w:basedOn w:val="Normal"/>
    <w:rsid w:val="0036386E"/>
    <w:pPr>
      <w:spacing w:before="100" w:beforeAutospacing="1" w:after="100" w:afterAutospacing="1"/>
      <w:jc w:val="left"/>
    </w:pPr>
    <w:rPr>
      <w:szCs w:val="24"/>
      <w:lang w:eastAsia="en-GB"/>
    </w:rPr>
  </w:style>
  <w:style w:type="paragraph" w:customStyle="1" w:styleId="Normal1">
    <w:name w:val="Normal1"/>
    <w:basedOn w:val="Normal"/>
    <w:rsid w:val="0036386E"/>
    <w:pPr>
      <w:spacing w:before="100" w:beforeAutospacing="1" w:after="100" w:afterAutospacing="1"/>
      <w:jc w:val="left"/>
    </w:pPr>
    <w:rPr>
      <w:szCs w:val="24"/>
      <w:lang w:eastAsia="en-GB"/>
    </w:rPr>
  </w:style>
  <w:style w:type="character" w:styleId="Hyperlink">
    <w:name w:val="Hyperlink"/>
    <w:basedOn w:val="DefaultParagraphFont"/>
    <w:uiPriority w:val="99"/>
    <w:unhideWhenUsed/>
    <w:rsid w:val="0036386E"/>
    <w:rPr>
      <w:color w:val="0000FF"/>
      <w:u w:val="single"/>
    </w:rPr>
  </w:style>
  <w:style w:type="character" w:customStyle="1" w:styleId="bold">
    <w:name w:val="bold"/>
    <w:basedOn w:val="DefaultParagraphFont"/>
    <w:rsid w:val="0036386E"/>
  </w:style>
  <w:style w:type="paragraph" w:customStyle="1" w:styleId="ti-col">
    <w:name w:val="ti-col"/>
    <w:basedOn w:val="Normal"/>
    <w:rsid w:val="0036386E"/>
    <w:pPr>
      <w:spacing w:before="100" w:beforeAutospacing="1" w:after="100" w:afterAutospacing="1"/>
      <w:jc w:val="left"/>
    </w:pPr>
    <w:rPr>
      <w:szCs w:val="24"/>
      <w:lang w:eastAsia="en-GB"/>
    </w:rPr>
  </w:style>
  <w:style w:type="paragraph" w:customStyle="1" w:styleId="cell">
    <w:name w:val="cell"/>
    <w:basedOn w:val="Normal"/>
    <w:rsid w:val="0036386E"/>
    <w:pPr>
      <w:spacing w:before="100" w:beforeAutospacing="1" w:after="100" w:afterAutospacing="1"/>
      <w:jc w:val="left"/>
    </w:pPr>
    <w:rPr>
      <w:szCs w:val="24"/>
      <w:lang w:eastAsia="en-GB"/>
    </w:rPr>
  </w:style>
  <w:style w:type="paragraph" w:styleId="ListParagraph">
    <w:name w:val="List Paragraph"/>
    <w:basedOn w:val="Normal"/>
    <w:uiPriority w:val="34"/>
    <w:qFormat/>
    <w:rsid w:val="006440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8700FE"/>
    <w:rPr>
      <w:rFonts w:ascii="Arial" w:hAnsi="Arial"/>
      <w:sz w:val="16"/>
      <w:lang w:eastAsia="en-US"/>
    </w:rPr>
  </w:style>
  <w:style w:type="character" w:customStyle="1" w:styleId="DateChar">
    <w:name w:val="Date Char"/>
    <w:basedOn w:val="DefaultParagraphFont"/>
    <w:link w:val="Date"/>
    <w:uiPriority w:val="99"/>
    <w:locked/>
    <w:rsid w:val="008700FE"/>
    <w:rPr>
      <w:sz w:val="24"/>
      <w:lang w:eastAsia="en-US"/>
    </w:rPr>
  </w:style>
  <w:style w:type="character" w:customStyle="1" w:styleId="SignatureChar">
    <w:name w:val="Signature Char"/>
    <w:basedOn w:val="DefaultParagraphFont"/>
    <w:link w:val="Signature"/>
    <w:uiPriority w:val="99"/>
    <w:locked/>
    <w:rsid w:val="008700FE"/>
    <w:rPr>
      <w:sz w:val="24"/>
      <w:lang w:eastAsia="en-US"/>
    </w:rPr>
  </w:style>
  <w:style w:type="paragraph" w:customStyle="1" w:styleId="ZCom">
    <w:name w:val="Z_Com"/>
    <w:basedOn w:val="Normal"/>
    <w:next w:val="ZDGName"/>
    <w:uiPriority w:val="99"/>
    <w:rsid w:val="008700FE"/>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8700FE"/>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8700FE"/>
    <w:rPr>
      <w:sz w:val="24"/>
      <w:lang w:eastAsia="en-US"/>
    </w:rPr>
  </w:style>
  <w:style w:type="paragraph" w:customStyle="1" w:styleId="ti-chapter">
    <w:name w:val="ti-chapter"/>
    <w:basedOn w:val="Normal"/>
    <w:rsid w:val="0036386E"/>
    <w:pPr>
      <w:spacing w:before="100" w:beforeAutospacing="1" w:after="100" w:afterAutospacing="1"/>
      <w:jc w:val="left"/>
    </w:pPr>
    <w:rPr>
      <w:szCs w:val="24"/>
      <w:lang w:eastAsia="en-GB"/>
    </w:rPr>
  </w:style>
  <w:style w:type="paragraph" w:customStyle="1" w:styleId="Normal1">
    <w:name w:val="Normal1"/>
    <w:basedOn w:val="Normal"/>
    <w:rsid w:val="0036386E"/>
    <w:pPr>
      <w:spacing w:before="100" w:beforeAutospacing="1" w:after="100" w:afterAutospacing="1"/>
      <w:jc w:val="left"/>
    </w:pPr>
    <w:rPr>
      <w:szCs w:val="24"/>
      <w:lang w:eastAsia="en-GB"/>
    </w:rPr>
  </w:style>
  <w:style w:type="character" w:styleId="Hyperlink">
    <w:name w:val="Hyperlink"/>
    <w:basedOn w:val="DefaultParagraphFont"/>
    <w:uiPriority w:val="99"/>
    <w:unhideWhenUsed/>
    <w:rsid w:val="0036386E"/>
    <w:rPr>
      <w:color w:val="0000FF"/>
      <w:u w:val="single"/>
    </w:rPr>
  </w:style>
  <w:style w:type="character" w:customStyle="1" w:styleId="bold">
    <w:name w:val="bold"/>
    <w:basedOn w:val="DefaultParagraphFont"/>
    <w:rsid w:val="0036386E"/>
  </w:style>
  <w:style w:type="paragraph" w:customStyle="1" w:styleId="ti-col">
    <w:name w:val="ti-col"/>
    <w:basedOn w:val="Normal"/>
    <w:rsid w:val="0036386E"/>
    <w:pPr>
      <w:spacing w:before="100" w:beforeAutospacing="1" w:after="100" w:afterAutospacing="1"/>
      <w:jc w:val="left"/>
    </w:pPr>
    <w:rPr>
      <w:szCs w:val="24"/>
      <w:lang w:eastAsia="en-GB"/>
    </w:rPr>
  </w:style>
  <w:style w:type="paragraph" w:customStyle="1" w:styleId="cell">
    <w:name w:val="cell"/>
    <w:basedOn w:val="Normal"/>
    <w:rsid w:val="0036386E"/>
    <w:pPr>
      <w:spacing w:before="100" w:beforeAutospacing="1" w:after="100" w:afterAutospacing="1"/>
      <w:jc w:val="left"/>
    </w:pPr>
    <w:rPr>
      <w:szCs w:val="24"/>
      <w:lang w:eastAsia="en-GB"/>
    </w:rPr>
  </w:style>
  <w:style w:type="paragraph" w:styleId="ListParagraph">
    <w:name w:val="List Paragraph"/>
    <w:basedOn w:val="Normal"/>
    <w:uiPriority w:val="34"/>
    <w:qFormat/>
    <w:rsid w:val="00644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3654">
      <w:bodyDiv w:val="1"/>
      <w:marLeft w:val="0"/>
      <w:marRight w:val="0"/>
      <w:marTop w:val="0"/>
      <w:marBottom w:val="0"/>
      <w:divBdr>
        <w:top w:val="none" w:sz="0" w:space="0" w:color="auto"/>
        <w:left w:val="none" w:sz="0" w:space="0" w:color="auto"/>
        <w:bottom w:val="none" w:sz="0" w:space="0" w:color="auto"/>
        <w:right w:val="none" w:sz="0" w:space="0" w:color="auto"/>
      </w:divBdr>
      <w:divsChild>
        <w:div w:id="831605355">
          <w:marLeft w:val="0"/>
          <w:marRight w:val="0"/>
          <w:marTop w:val="0"/>
          <w:marBottom w:val="0"/>
          <w:divBdr>
            <w:top w:val="none" w:sz="0" w:space="0" w:color="auto"/>
            <w:left w:val="none" w:sz="0" w:space="0" w:color="auto"/>
            <w:bottom w:val="none" w:sz="0" w:space="0" w:color="auto"/>
            <w:right w:val="none" w:sz="0" w:space="0" w:color="auto"/>
          </w:divBdr>
        </w:div>
      </w:divsChild>
    </w:div>
    <w:div w:id="8660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justice/criminal/recognition-decision/european-arrest-warrant/index_en.htm" TargetMode="External"/><Relationship Id="rId18" Type="http://schemas.openxmlformats.org/officeDocument/2006/relationships/hyperlink" Target="http://eur-lex.europa.eu/legal-content/EN/AUTO/?uri=uriserv:2303_2"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fairtrials.org/" TargetMode="External"/><Relationship Id="rId7" Type="http://schemas.openxmlformats.org/officeDocument/2006/relationships/endnotes" Target="endnotes.xml"/><Relationship Id="rId12" Type="http://schemas.openxmlformats.org/officeDocument/2006/relationships/hyperlink" Target="http://eur-lex.europa.eu/legal-content/EN/AUTO/?uri=celex:52011DC0175" TargetMode="External"/><Relationship Id="rId17" Type="http://schemas.openxmlformats.org/officeDocument/2006/relationships/hyperlink" Target="http://eur-lex.europa.eu/legal-content/EN/AUTO/?uri=uriserv:OJ.L_.2012.142.01.0001.01.EN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eur-lex.europa.eu/legal-content/EN/AUTO/?uri=uriserv:230301_3" TargetMode="External"/><Relationship Id="rId20" Type="http://schemas.openxmlformats.org/officeDocument/2006/relationships/hyperlink" Target="http://icelandmonitor.mbl.is/news/politics_and_society/2016/05/31/iceland_joins_european_arrest_warra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ionalcrimeagency.gov.uk/publications/european-arrest-warrant-statistic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ur-lex.europa.eu/legal-content/EN/AUTO/?uri=uriserv:OJ.L_.2010.280.01.0001.01.ENG" TargetMode="External"/><Relationship Id="rId23" Type="http://schemas.openxmlformats.org/officeDocument/2006/relationships/footer" Target="footer1.xml"/><Relationship Id="rId10" Type="http://schemas.openxmlformats.org/officeDocument/2006/relationships/hyperlink" Target="http://ec.europa.eu/justice/criminal/recognition-decision/index_en.htm" TargetMode="External"/><Relationship Id="rId19" Type="http://schemas.openxmlformats.org/officeDocument/2006/relationships/hyperlink" Target="http://eur-lex.europa.eu/legal-content/EN/AUTO/?uri=uriserv:OJ.L_.2013.294.01.0001.01.ENG" TargetMode="External"/><Relationship Id="rId4" Type="http://schemas.openxmlformats.org/officeDocument/2006/relationships/settings" Target="settings.xml"/><Relationship Id="rId9" Type="http://schemas.openxmlformats.org/officeDocument/2006/relationships/hyperlink" Target="http://eur-lex.europa.eu/legal-content/EN/AUTO/?uri=celex:32002F0584" TargetMode="External"/><Relationship Id="rId14" Type="http://schemas.openxmlformats.org/officeDocument/2006/relationships/hyperlink" Target="http://eur-lex.europa.eu/legal-content/EN/AUTO/?uri=uriserv:jl0047" TargetMode="External"/><Relationship Id="rId22" Type="http://schemas.openxmlformats.org/officeDocument/2006/relationships/hyperlink" Target="mailto:Alex.mik@fairtrials.net"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Template>
  <TotalTime>5</TotalTime>
  <Pages>4</Pages>
  <Words>1087</Words>
  <Characters>6807</Characters>
  <Application>Microsoft Office Word</Application>
  <DocSecurity>0</DocSecurity>
  <PresentationFormat>Microsoft Word 14.0</PresentationFormat>
  <Lines>56</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Morgan</dc:creator>
  <cp:keywords>EL4</cp:keywords>
  <cp:lastModifiedBy>Arriens, Liz (Education and Society)</cp:lastModifiedBy>
  <cp:revision>3</cp:revision>
  <dcterms:created xsi:type="dcterms:W3CDTF">2016-10-28T11:22:00Z</dcterms:created>
  <dcterms:modified xsi:type="dcterms:W3CDTF">2016-10-28T11:26:00Z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Caroline Morgan</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