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PAPER RECYCLING MOSAIC WORKSHOP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MOBILITY MAY/JUNE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WHEN: during the May/June mobility, Mosaic and paper recycling workshop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WHERE: in the courtyard if time permits, in the classroom using tables arranged in islands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WHO: pupils selected for the mobility in small groups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WHAT: creative mosaic work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MATERIAL: recycled paper from weekly and daily newspapers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Choose a work to be made, even a homage to famous works (the working group)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Divide the work among the group members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Make a stylised and enlarged drawing of the work (respecting proportions)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Tear out newspaper pages (well so as to use the whole size)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Consider how to insert the pieces of paper and what type to use (small tubes or strips to be rolled up, explained verbally on the spot)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Fold or roll the paper and close each prepared element with a little glue (make different sizes, the tubes will be cut to size at a later stage)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Prepare many elements so that you have enough to make the work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Start cutting the tubes to different sizes to cover all the spaces in the design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Arrange them in a herringbone or linear pattern depending on the visual effect you want to give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Position the large and small washers to occupy the spaces in the design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Observe the work continuously in order to correct and make improvements to the final effect, the artist's work must be legible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If the work is satisfactory you can proceed to glue the various pieces permanently onto the support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