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FE" w:rsidRDefault="009332D3">
      <w:pPr>
        <w:rPr>
          <w:b/>
          <w:color w:val="31849B" w:themeColor="accent5" w:themeShade="BF"/>
          <w:sz w:val="48"/>
          <w:szCs w:val="48"/>
          <w:u w:val="single"/>
        </w:rPr>
      </w:pPr>
      <w:r w:rsidRPr="009332D3">
        <w:rPr>
          <w:b/>
          <w:color w:val="31849B" w:themeColor="accent5" w:themeShade="BF"/>
          <w:sz w:val="48"/>
          <w:szCs w:val="48"/>
          <w:u w:val="single"/>
        </w:rPr>
        <w:t xml:space="preserve">El mercado de trabajo </w:t>
      </w:r>
      <w:r>
        <w:rPr>
          <w:b/>
          <w:color w:val="31849B" w:themeColor="accent5" w:themeShade="BF"/>
          <w:sz w:val="48"/>
          <w:szCs w:val="48"/>
          <w:u w:val="single"/>
        </w:rPr>
        <w:t>–</w:t>
      </w:r>
      <w:r w:rsidRPr="009332D3">
        <w:rPr>
          <w:b/>
          <w:color w:val="31849B" w:themeColor="accent5" w:themeShade="BF"/>
          <w:sz w:val="48"/>
          <w:szCs w:val="48"/>
          <w:u w:val="single"/>
        </w:rPr>
        <w:t xml:space="preserve"> Grecia</w:t>
      </w:r>
    </w:p>
    <w:p w:rsidR="009332D3" w:rsidRDefault="009332D3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Datos:</w:t>
      </w:r>
    </w:p>
    <w:p w:rsidR="009332D3" w:rsidRDefault="009332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Población total= 10757293 </w:t>
      </w:r>
    </w:p>
    <w:p w:rsidR="009332D3" w:rsidRDefault="009332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Población -16 años= 1557293</w:t>
      </w:r>
    </w:p>
    <w:p w:rsidR="009332D3" w:rsidRDefault="009332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Población +16 años= 9200000</w:t>
      </w:r>
    </w:p>
    <w:p w:rsidR="009332D3" w:rsidRDefault="009332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Población activa= 4773000</w:t>
      </w:r>
    </w:p>
    <w:p w:rsidR="009332D3" w:rsidRDefault="002E6E2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Población inactiva= 4427000</w:t>
      </w:r>
    </w:p>
    <w:p w:rsidR="002E6E21" w:rsidRDefault="002E6E2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Población parada= 1124000</w:t>
      </w:r>
    </w:p>
    <w:p w:rsidR="002E6E21" w:rsidRDefault="002E6E2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Población ocupada= 3649000</w:t>
      </w:r>
    </w:p>
    <w:p w:rsidR="002E6E21" w:rsidRDefault="002E6E21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Tasas:</w:t>
      </w:r>
    </w:p>
    <w:p w:rsidR="002E6E21" w:rsidRDefault="002E6E21">
      <w:pPr>
        <w:rPr>
          <w:rFonts w:eastAsiaTheme="minorEastAsia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Tasa paro: 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1124000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4773000</m:t>
            </m:r>
          </m:den>
        </m:f>
      </m:oMath>
      <w:r>
        <w:rPr>
          <w:rFonts w:eastAsiaTheme="minorEastAsia"/>
          <w:color w:val="000000" w:themeColor="text1"/>
          <w:sz w:val="24"/>
          <w:szCs w:val="24"/>
        </w:rPr>
        <w:t>x100= 23,5491%</w:t>
      </w:r>
    </w:p>
    <w:p w:rsidR="002E6E21" w:rsidRDefault="002E6E21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Tasa ocupación:</w:t>
      </w:r>
      <w:r>
        <w:rPr>
          <w:color w:val="000000" w:themeColor="text1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3649000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4773000</m:t>
            </m:r>
          </m:den>
        </m:f>
      </m:oMath>
      <w:r>
        <w:rPr>
          <w:rFonts w:eastAsiaTheme="minorEastAsia"/>
          <w:color w:val="000000" w:themeColor="text1"/>
          <w:sz w:val="24"/>
          <w:szCs w:val="24"/>
        </w:rPr>
        <w:t>x100</w:t>
      </w:r>
      <w:r w:rsidR="00831B49">
        <w:rPr>
          <w:rFonts w:eastAsiaTheme="minorEastAsia"/>
          <w:color w:val="000000" w:themeColor="text1"/>
          <w:sz w:val="24"/>
          <w:szCs w:val="24"/>
        </w:rPr>
        <w:t>= 76,4509%</w:t>
      </w:r>
    </w:p>
    <w:p w:rsidR="00831B49" w:rsidRDefault="00831B49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Tasa actividad: 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4773000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9200000</m:t>
            </m:r>
          </m:den>
        </m:f>
      </m:oMath>
      <w:r>
        <w:rPr>
          <w:rFonts w:eastAsiaTheme="minorEastAsia"/>
          <w:color w:val="000000" w:themeColor="text1"/>
          <w:sz w:val="24"/>
          <w:szCs w:val="24"/>
        </w:rPr>
        <w:t>x100= 55,8804%</w:t>
      </w:r>
    </w:p>
    <w:p w:rsidR="00FA4527" w:rsidRDefault="00FA4527">
      <w:pPr>
        <w:rPr>
          <w:rStyle w:val="eur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El 2016 se registró que el PIB de Grecia era </w:t>
      </w:r>
      <w:r>
        <w:rPr>
          <w:rStyle w:val="eur"/>
        </w:rPr>
        <w:t>174.199 millones de euros y cayó un 0,2% en comparación con el año anterior.</w:t>
      </w:r>
    </w:p>
    <w:p w:rsidR="00FA4527" w:rsidRPr="002E6E21" w:rsidRDefault="00FA4527">
      <w:pPr>
        <w:rPr>
          <w:color w:val="000000" w:themeColor="text1"/>
          <w:sz w:val="24"/>
          <w:szCs w:val="24"/>
        </w:rPr>
      </w:pPr>
      <w:r>
        <w:rPr>
          <w:rStyle w:val="eur"/>
        </w:rPr>
        <w:t xml:space="preserve">El PNB </w:t>
      </w:r>
      <w:bookmarkStart w:id="0" w:name="_GoBack"/>
      <w:bookmarkEnd w:id="0"/>
    </w:p>
    <w:sectPr w:rsidR="00FA4527" w:rsidRPr="002E6E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D3"/>
    <w:rsid w:val="002E6E21"/>
    <w:rsid w:val="006963FE"/>
    <w:rsid w:val="0079309C"/>
    <w:rsid w:val="00831B49"/>
    <w:rsid w:val="009332D3"/>
    <w:rsid w:val="00FA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97927-F8E2-40D2-90E7-C8DE0FC9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6E2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E21"/>
    <w:rPr>
      <w:rFonts w:ascii="Tahoma" w:hAnsi="Tahoma" w:cs="Tahoma"/>
      <w:sz w:val="16"/>
      <w:szCs w:val="16"/>
    </w:rPr>
  </w:style>
  <w:style w:type="character" w:customStyle="1" w:styleId="eur">
    <w:name w:val="eur"/>
    <w:basedOn w:val="Fuentedeprrafopredeter"/>
    <w:rsid w:val="00FA4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MONTSE</cp:lastModifiedBy>
  <cp:revision>2</cp:revision>
  <dcterms:created xsi:type="dcterms:W3CDTF">2018-04-18T16:10:00Z</dcterms:created>
  <dcterms:modified xsi:type="dcterms:W3CDTF">2018-04-18T16:10:00Z</dcterms:modified>
</cp:coreProperties>
</file>