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5F94" w14:textId="77777777" w:rsidR="002A39BC" w:rsidRPr="00530C07" w:rsidRDefault="003A227C" w:rsidP="002A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Edwardian Script ITC"/>
          <w:b/>
          <w:bCs/>
          <w:color w:val="0070C0"/>
          <w:sz w:val="144"/>
          <w:szCs w:val="144"/>
          <w:u w:val="single"/>
          <w:lang w:val="es-ES_tradnl"/>
        </w:rPr>
      </w:pPr>
      <w:r w:rsidRPr="00530C07">
        <w:rPr>
          <w:rFonts w:ascii="Edwardian Script ITC" w:hAnsi="Edwardian Script ITC" w:cs="Edwardian Script ITC"/>
          <w:b/>
          <w:bCs/>
          <w:color w:val="0070C0"/>
          <w:sz w:val="144"/>
          <w:szCs w:val="144"/>
          <w:u w:val="single"/>
          <w:lang w:val="es-ES_tradnl"/>
        </w:rPr>
        <w:t>Turquía</w:t>
      </w:r>
    </w:p>
    <w:p w14:paraId="0C7A8151" w14:textId="77777777" w:rsidR="002A39BC" w:rsidRPr="00530C07" w:rsidRDefault="002A39BC" w:rsidP="002A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Edwardian Script ITC"/>
          <w:b/>
          <w:bCs/>
          <w:color w:val="0070C0"/>
          <w:sz w:val="32"/>
          <w:szCs w:val="32"/>
          <w:u w:val="single"/>
          <w:lang w:val="es-ES_tradnl"/>
        </w:rPr>
      </w:pPr>
    </w:p>
    <w:p w14:paraId="52BFBE04" w14:textId="77777777" w:rsidR="002A39BC" w:rsidRPr="00530C07" w:rsidRDefault="002A39BC" w:rsidP="002A39BC">
      <w:pPr>
        <w:widowControl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0070C0"/>
          <w:sz w:val="32"/>
          <w:szCs w:val="32"/>
          <w:lang w:val="es-ES_tradnl"/>
        </w:rPr>
      </w:pPr>
    </w:p>
    <w:p w14:paraId="20E98522" w14:textId="77777777" w:rsidR="007E1903" w:rsidRPr="00530C07" w:rsidRDefault="003A227C" w:rsidP="002A39B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Población total: 79.814.871</w:t>
      </w:r>
    </w:p>
    <w:p w14:paraId="39A52F7C" w14:textId="77777777" w:rsidR="007E1903" w:rsidRPr="00530C07" w:rsidRDefault="003A227C" w:rsidP="002A39B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Población menor de 15 años (porque en Turquía se puede empezar a trabajar a los 15): 37.177.123</w:t>
      </w:r>
    </w:p>
    <w:p w14:paraId="111B827D" w14:textId="77777777" w:rsidR="007E1903" w:rsidRPr="00530C07" w:rsidRDefault="003A227C" w:rsidP="002A39B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Población mayor de 15 años: 42.637.748</w:t>
      </w:r>
    </w:p>
    <w:p w14:paraId="6769B21A" w14:textId="77777777" w:rsidR="007E1903" w:rsidRPr="00530C07" w:rsidRDefault="003A227C" w:rsidP="002A39B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Población inactiva: 18.997.861</w:t>
      </w:r>
    </w:p>
    <w:p w14:paraId="5CE26E3A" w14:textId="77777777" w:rsidR="007E1903" w:rsidRPr="00530C07" w:rsidRDefault="003A227C" w:rsidP="002A39B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Población activa: 23.639.887</w:t>
      </w:r>
    </w:p>
    <w:p w14:paraId="75AB9EA7" w14:textId="77777777" w:rsidR="007E1903" w:rsidRPr="00530C07" w:rsidRDefault="003A227C" w:rsidP="002A39B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Población parada: 7.254.990</w:t>
      </w:r>
    </w:p>
    <w:p w14:paraId="53F268F9" w14:textId="77777777" w:rsidR="007E1903" w:rsidRPr="00530C07" w:rsidRDefault="003A227C" w:rsidP="002A39B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Población ocupada: 16.384.897</w:t>
      </w:r>
    </w:p>
    <w:p w14:paraId="15B1FF7D" w14:textId="77777777" w:rsidR="00B02E4F" w:rsidRPr="00530C07" w:rsidRDefault="00B02E4F" w:rsidP="002A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8A30885" w14:textId="77777777" w:rsidR="00B02E4F" w:rsidRPr="00530C07" w:rsidRDefault="00BA3D1E" w:rsidP="002A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0"/>
          <w:szCs w:val="20"/>
          <w:u w:val="single"/>
          <w:lang w:val="es-ES_tradnl"/>
        </w:rPr>
      </w:pPr>
      <w:r w:rsidRPr="00530C07">
        <w:rPr>
          <w:rFonts w:ascii="Times New Roman" w:hAnsi="Times New Roman" w:cs="Times New Roman"/>
          <w:color w:val="0070C0"/>
          <w:sz w:val="32"/>
          <w:szCs w:val="32"/>
          <w:lang w:val="es-ES_tradnl"/>
        </w:rPr>
        <w:t>-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B02E4F" w:rsidRPr="00530C07">
        <w:rPr>
          <w:rFonts w:ascii="Times New Roman" w:hAnsi="Times New Roman" w:cs="Times New Roman"/>
          <w:sz w:val="32"/>
          <w:szCs w:val="32"/>
          <w:lang w:val="es-ES_tradnl"/>
        </w:rPr>
        <w:t>Tasa de paro</w:t>
      </w:r>
      <w:r w:rsidR="002A39BC"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0247B5" w:rsidRPr="00530C07">
        <w:rPr>
          <w:rFonts w:ascii="Times New Roman" w:hAnsi="Times New Roman" w:cs="Times New Roman"/>
          <w:sz w:val="32"/>
          <w:szCs w:val="32"/>
          <w:lang w:val="es-ES_tradnl"/>
        </w:rPr>
        <w:t>=</w:t>
      </w:r>
      <w:r w:rsidR="000247B5" w:rsidRPr="00530C07">
        <w:rPr>
          <w:rFonts w:ascii="Times New Roman" w:hAnsi="Times New Roman" w:cs="Times New Roman"/>
          <w:sz w:val="32"/>
          <w:szCs w:val="32"/>
          <w:u w:val="single"/>
          <w:lang w:val="es-ES_tradnl"/>
        </w:rPr>
        <w:t xml:space="preserve"> </w:t>
      </w:r>
      <w:r w:rsidR="00F72A02" w:rsidRPr="00530C07">
        <w:rPr>
          <w:rFonts w:ascii="Times New Roman" w:hAnsi="Times New Roman" w:cs="Times New Roman"/>
          <w:sz w:val="32"/>
          <w:szCs w:val="32"/>
          <w:u w:val="single"/>
          <w:lang w:val="es-ES_tradnl"/>
        </w:rPr>
        <w:t>7.254.990</w:t>
      </w:r>
      <w:r w:rsidR="00F72A02" w:rsidRPr="00530C07">
        <w:rPr>
          <w:rFonts w:ascii="Times New Roman" w:hAnsi="Times New Roman" w:cs="Times New Roman"/>
          <w:sz w:val="32"/>
          <w:szCs w:val="32"/>
          <w:lang w:val="es-ES_tradnl"/>
        </w:rPr>
        <w:t>× 100</w:t>
      </w:r>
      <w:r w:rsidR="002A39BC"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E2FF5" w:rsidRPr="00530C07">
        <w:rPr>
          <w:rFonts w:ascii="Times New Roman" w:hAnsi="Times New Roman" w:cs="Times New Roman"/>
          <w:sz w:val="32"/>
          <w:szCs w:val="32"/>
          <w:lang w:val="es-ES_tradnl"/>
        </w:rPr>
        <w:t>=</w:t>
      </w:r>
      <w:r w:rsidR="00FE2FF5" w:rsidRPr="00530C07">
        <w:rPr>
          <w:rFonts w:ascii="Times New Roman" w:hAnsi="Times New Roman" w:cs="Times New Roman"/>
          <w:b/>
          <w:color w:val="0070C0"/>
          <w:sz w:val="32"/>
          <w:szCs w:val="32"/>
          <w:lang w:val="es-ES_tradnl"/>
        </w:rPr>
        <w:t xml:space="preserve"> </w:t>
      </w:r>
      <w:r w:rsidR="008B54EC" w:rsidRPr="00530C07">
        <w:rPr>
          <w:rFonts w:ascii="Times New Roman" w:hAnsi="Times New Roman" w:cs="Times New Roman"/>
          <w:b/>
          <w:color w:val="0070C0"/>
          <w:sz w:val="32"/>
          <w:szCs w:val="32"/>
          <w:lang w:val="es-ES_tradnl"/>
        </w:rPr>
        <w:t>30,58%</w:t>
      </w:r>
    </w:p>
    <w:p w14:paraId="518AB34D" w14:textId="77777777" w:rsidR="00F72A02" w:rsidRPr="00530C07" w:rsidRDefault="00F72A02" w:rsidP="002A39B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</w:t>
      </w:r>
      <w:r w:rsidR="006146AA" w:rsidRPr="00530C07">
        <w:rPr>
          <w:rFonts w:ascii="Times New Roman" w:hAnsi="Times New Roman" w:cs="Times New Roman"/>
          <w:sz w:val="32"/>
          <w:szCs w:val="32"/>
          <w:lang w:val="es-ES_tradnl"/>
        </w:rPr>
        <w:t>23.639.887</w:t>
      </w:r>
    </w:p>
    <w:p w14:paraId="510D7AC5" w14:textId="77777777" w:rsidR="00BA3D1E" w:rsidRPr="00530C07" w:rsidRDefault="00F81F0B" w:rsidP="002A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color w:val="0070C0"/>
          <w:sz w:val="32"/>
          <w:szCs w:val="32"/>
          <w:lang w:val="es-ES_tradnl"/>
        </w:rPr>
        <w:t>-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Tasa de ocupación</w:t>
      </w:r>
      <w:r w:rsidR="002A39BC"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= </w:t>
      </w:r>
      <w:r w:rsidR="0028224A" w:rsidRPr="00530C07">
        <w:rPr>
          <w:rFonts w:ascii="Times New Roman" w:hAnsi="Times New Roman" w:cs="Times New Roman"/>
          <w:sz w:val="32"/>
          <w:szCs w:val="32"/>
          <w:u w:val="single"/>
          <w:lang w:val="es-ES_tradnl"/>
        </w:rPr>
        <w:t>16.384.897</w:t>
      </w:r>
      <w:r w:rsidR="0028224A"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×100 </w:t>
      </w:r>
      <w:r w:rsidR="00FE2FF5" w:rsidRPr="00530C07">
        <w:rPr>
          <w:rFonts w:ascii="Times New Roman" w:hAnsi="Times New Roman" w:cs="Times New Roman"/>
          <w:sz w:val="32"/>
          <w:szCs w:val="32"/>
          <w:lang w:val="es-ES_tradnl"/>
        </w:rPr>
        <w:t>=</w:t>
      </w:r>
      <w:r w:rsidR="008B54EC" w:rsidRPr="00530C07">
        <w:rPr>
          <w:rFonts w:ascii="Times New Roman" w:hAnsi="Times New Roman" w:cs="Times New Roman"/>
          <w:b/>
          <w:color w:val="0070C0"/>
          <w:sz w:val="32"/>
          <w:szCs w:val="32"/>
          <w:lang w:val="es-ES_tradnl"/>
        </w:rPr>
        <w:t xml:space="preserve"> </w:t>
      </w:r>
      <w:r w:rsidR="00DA0A05" w:rsidRPr="00530C07">
        <w:rPr>
          <w:rFonts w:ascii="Times New Roman" w:hAnsi="Times New Roman" w:cs="Times New Roman"/>
          <w:b/>
          <w:color w:val="0070C0"/>
          <w:sz w:val="32"/>
          <w:szCs w:val="32"/>
          <w:lang w:val="es-ES_tradnl"/>
        </w:rPr>
        <w:t>69,31%</w:t>
      </w:r>
    </w:p>
    <w:p w14:paraId="0D2BC3B1" w14:textId="77777777" w:rsidR="0028224A" w:rsidRPr="00530C07" w:rsidRDefault="0028224A" w:rsidP="002A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                   </w:t>
      </w:r>
      <w:r w:rsidR="00A06992" w:rsidRPr="00530C07">
        <w:rPr>
          <w:rFonts w:ascii="Times New Roman" w:hAnsi="Times New Roman" w:cs="Times New Roman"/>
          <w:sz w:val="32"/>
          <w:szCs w:val="32"/>
          <w:lang w:val="es-ES_tradnl"/>
        </w:rPr>
        <w:t>23.639.887</w:t>
      </w:r>
    </w:p>
    <w:p w14:paraId="62FF14E5" w14:textId="77777777" w:rsidR="00A06992" w:rsidRPr="00530C07" w:rsidRDefault="00A06992" w:rsidP="002A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color w:val="0070C0"/>
          <w:sz w:val="32"/>
          <w:szCs w:val="32"/>
          <w:lang w:val="es-ES_tradnl"/>
        </w:rPr>
        <w:t>-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Tasa de actividad</w:t>
      </w:r>
      <w:r w:rsidR="002A39BC"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= </w:t>
      </w:r>
      <w:r w:rsidR="00287464" w:rsidRPr="00530C07">
        <w:rPr>
          <w:rFonts w:ascii="Times New Roman" w:hAnsi="Times New Roman" w:cs="Times New Roman"/>
          <w:sz w:val="32"/>
          <w:szCs w:val="32"/>
          <w:u w:val="single"/>
          <w:lang w:val="es-ES_tradnl"/>
        </w:rPr>
        <w:t>23.639.887</w:t>
      </w:r>
      <w:r w:rsidR="00287464"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×100 </w:t>
      </w:r>
      <w:r w:rsidR="00FE2FF5" w:rsidRPr="00530C07">
        <w:rPr>
          <w:rFonts w:ascii="Times New Roman" w:hAnsi="Times New Roman" w:cs="Times New Roman"/>
          <w:sz w:val="32"/>
          <w:szCs w:val="32"/>
          <w:lang w:val="es-ES_tradnl"/>
        </w:rPr>
        <w:t>=</w:t>
      </w:r>
      <w:r w:rsidR="00DA0A05" w:rsidRPr="00530C07">
        <w:rPr>
          <w:rFonts w:ascii="Times New Roman" w:hAnsi="Times New Roman" w:cs="Times New Roman"/>
          <w:b/>
          <w:color w:val="0070C0"/>
          <w:sz w:val="32"/>
          <w:szCs w:val="32"/>
          <w:lang w:val="es-ES_tradnl"/>
        </w:rPr>
        <w:t xml:space="preserve"> 55,44%</w:t>
      </w:r>
    </w:p>
    <w:p w14:paraId="6ED18CD9" w14:textId="77777777" w:rsidR="00530C07" w:rsidRPr="00530C07" w:rsidRDefault="00287464" w:rsidP="0053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                  </w:t>
      </w:r>
      <w:r w:rsidR="00A11F00" w:rsidRPr="00530C07">
        <w:rPr>
          <w:rFonts w:ascii="Times New Roman" w:hAnsi="Times New Roman" w:cs="Times New Roman"/>
          <w:sz w:val="32"/>
          <w:szCs w:val="32"/>
          <w:lang w:val="es-ES_tradnl"/>
        </w:rPr>
        <w:t>42.637748</w:t>
      </w:r>
    </w:p>
    <w:p w14:paraId="7815641A" w14:textId="77777777"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67AE42A3" w14:textId="77777777"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233F5789" w14:textId="77777777" w:rsidR="002A39BC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En el </w:t>
      </w:r>
      <w:r>
        <w:rPr>
          <w:rFonts w:ascii="Times New Roman" w:hAnsi="Times New Roman" w:cs="Times New Roman"/>
          <w:sz w:val="32"/>
          <w:szCs w:val="32"/>
          <w:lang w:val="es-ES_tradnl"/>
        </w:rPr>
        <w:t>ú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ltimo </w:t>
      </w:r>
      <w:r>
        <w:rPr>
          <w:rFonts w:ascii="Times New Roman" w:hAnsi="Times New Roman" w:cs="Times New Roman"/>
          <w:sz w:val="32"/>
          <w:szCs w:val="32"/>
          <w:lang w:val="es-ES_tradnl"/>
        </w:rPr>
        <w:t>trimestre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de 2017 se registró que el PIB de</w:t>
      </w:r>
      <w:r w:rsidR="002A39BC" w:rsidRPr="00530C0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530C07">
        <w:rPr>
          <w:rFonts w:ascii="Times New Roman" w:hAnsi="Times New Roman" w:cs="Times New Roman"/>
          <w:sz w:val="32"/>
          <w:szCs w:val="32"/>
          <w:lang w:val="es-ES_tradnl"/>
        </w:rPr>
        <w:t>Turquía e</w:t>
      </w:r>
      <w:r>
        <w:rPr>
          <w:rFonts w:ascii="Times New Roman" w:hAnsi="Times New Roman" w:cs="Times New Roman"/>
          <w:sz w:val="32"/>
          <w:szCs w:val="32"/>
          <w:lang w:val="es-ES_tradnl"/>
        </w:rPr>
        <w:t xml:space="preserve">ra de 187.901 millones de euros, mientras que el PNB fue de </w:t>
      </w:r>
      <w:r w:rsidR="006256AE" w:rsidRPr="006256AE">
        <w:rPr>
          <w:rFonts w:ascii="Times New Roman" w:hAnsi="Times New Roman" w:cs="Times New Roman"/>
          <w:sz w:val="32"/>
          <w:szCs w:val="32"/>
          <w:lang w:val="es-ES_tradnl"/>
        </w:rPr>
        <w:t>628.981.504</w:t>
      </w:r>
      <w:r w:rsidR="00E955ED">
        <w:rPr>
          <w:rFonts w:ascii="Times New Roman" w:hAnsi="Times New Roman" w:cs="Times New Roman"/>
          <w:sz w:val="32"/>
          <w:szCs w:val="32"/>
          <w:lang w:val="es-ES_tradnl"/>
        </w:rPr>
        <w:t xml:space="preserve"> ya que es un país que vive de las empresas nacionales. </w:t>
      </w:r>
      <w:bookmarkStart w:id="0" w:name="_GoBack"/>
      <w:bookmarkEnd w:id="0"/>
    </w:p>
    <w:sectPr w:rsidR="002A39BC" w:rsidRPr="00530C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04"/>
    <w:multiLevelType w:val="hybridMultilevel"/>
    <w:tmpl w:val="A3E87C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F3D"/>
    <w:multiLevelType w:val="hybridMultilevel"/>
    <w:tmpl w:val="9C8C13B4"/>
    <w:lvl w:ilvl="0" w:tplc="5CBC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D9A"/>
    <w:multiLevelType w:val="hybridMultilevel"/>
    <w:tmpl w:val="1DACCF0A"/>
    <w:lvl w:ilvl="0" w:tplc="1C1E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3DF3"/>
    <w:multiLevelType w:val="hybridMultilevel"/>
    <w:tmpl w:val="9FD41572"/>
    <w:lvl w:ilvl="0" w:tplc="3518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01E"/>
    <w:multiLevelType w:val="hybridMultilevel"/>
    <w:tmpl w:val="CCF0A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07C74"/>
    <w:multiLevelType w:val="hybridMultilevel"/>
    <w:tmpl w:val="A8DA4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4DB5"/>
    <w:multiLevelType w:val="hybridMultilevel"/>
    <w:tmpl w:val="B75022A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03"/>
    <w:rsid w:val="000247B5"/>
    <w:rsid w:val="0028224A"/>
    <w:rsid w:val="00287464"/>
    <w:rsid w:val="002A39BC"/>
    <w:rsid w:val="003045CD"/>
    <w:rsid w:val="00365013"/>
    <w:rsid w:val="003A227C"/>
    <w:rsid w:val="004D07C7"/>
    <w:rsid w:val="00530C07"/>
    <w:rsid w:val="006146AA"/>
    <w:rsid w:val="006256AE"/>
    <w:rsid w:val="007E1903"/>
    <w:rsid w:val="008171F5"/>
    <w:rsid w:val="008B54EC"/>
    <w:rsid w:val="00A06992"/>
    <w:rsid w:val="00A11F00"/>
    <w:rsid w:val="00A241C8"/>
    <w:rsid w:val="00B02E4F"/>
    <w:rsid w:val="00BA3D1E"/>
    <w:rsid w:val="00DA0A05"/>
    <w:rsid w:val="00DB0B00"/>
    <w:rsid w:val="00E955ED"/>
    <w:rsid w:val="00F72A02"/>
    <w:rsid w:val="00F81F0B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7C0E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7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1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1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1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1C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7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1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1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1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1C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barba</cp:lastModifiedBy>
  <cp:revision>21</cp:revision>
  <dcterms:created xsi:type="dcterms:W3CDTF">2018-01-21T13:52:00Z</dcterms:created>
  <dcterms:modified xsi:type="dcterms:W3CDTF">2018-03-27T11:36:00Z</dcterms:modified>
</cp:coreProperties>
</file>