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76DA" w14:textId="77777777" w:rsidR="00311D12" w:rsidRDefault="00311D1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311D12" w14:paraId="3D354C7C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41C5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(Project logo)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DB5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en-US"/>
              </w:rPr>
              <w:drawing>
                <wp:inline distT="0" distB="0" distL="0" distR="0" wp14:anchorId="42E2B196" wp14:editId="0DC3A289">
                  <wp:extent cx="4464050" cy="1001395"/>
                  <wp:effectExtent l="0" t="0" r="0" b="0"/>
                  <wp:docPr id="1" name="image1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12" w14:paraId="2B0A35E1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18BF" w14:textId="69277B6B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PLAN</w:t>
            </w:r>
            <w:r w:rsidR="00BD116B">
              <w:rPr>
                <w:rFonts w:ascii="Arial" w:eastAsia="Arial" w:hAnsi="Arial" w:cs="Arial"/>
                <w:b/>
                <w:color w:val="000000"/>
              </w:rPr>
              <w:t xml:space="preserve"> N.1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640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41C1BF8C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311D12" w14:paraId="45BE64FD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2A49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16DA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Portugal – Agrupamento de Escolas de Idães</w:t>
            </w:r>
          </w:p>
        </w:tc>
      </w:tr>
      <w:tr w:rsidR="00311D12" w14:paraId="4B263177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515C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235C8" w14:textId="5A1933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Susana Pereira</w:t>
            </w:r>
          </w:p>
        </w:tc>
      </w:tr>
      <w:tr w:rsidR="00311D12" w14:paraId="28579014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8D28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E7F2B9" w14:textId="77777777" w:rsidR="00311D12" w:rsidRPr="003E16BA" w:rsidRDefault="00F26487" w:rsidP="00F26487">
            <w:pPr>
              <w:pStyle w:val="Normal1"/>
              <w:rPr>
                <w:sz w:val="32"/>
                <w:szCs w:val="32"/>
              </w:rPr>
            </w:pPr>
            <w:r w:rsidRPr="003E16BA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Society, news, political power</w:t>
            </w:r>
            <w:r w:rsidR="003E16BA">
              <w:rPr>
                <w:sz w:val="32"/>
                <w:szCs w:val="32"/>
              </w:rPr>
              <w:t>.</w:t>
            </w:r>
            <w:r w:rsidRPr="003E16BA">
              <w:rPr>
                <w:sz w:val="32"/>
                <w:szCs w:val="32"/>
              </w:rPr>
              <w:t> </w:t>
            </w:r>
          </w:p>
        </w:tc>
      </w:tr>
      <w:tr w:rsidR="00311D12" w14:paraId="602FA056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62F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A8A787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311D12" w14:paraId="37EA899F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E939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EB59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A5A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1B5DD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14:paraId="3BAE644A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38C538AC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A4852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Objectives which the students acquire:</w:t>
            </w:r>
          </w:p>
        </w:tc>
      </w:tr>
      <w:tr w:rsidR="00311D12" w14:paraId="281B24F3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79AB31" w14:textId="608E0BAC" w:rsidR="00142B0B" w:rsidRDefault="00F26487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bookmarkStart w:id="4" w:name="2et92p0" w:colFirst="0" w:colLast="0"/>
            <w:bookmarkEnd w:id="4"/>
            <w:r>
              <w:rPr>
                <w:rFonts w:ascii="Arial" w:eastAsia="Arial" w:hAnsi="Arial" w:cs="Arial"/>
                <w:color w:val="000000"/>
              </w:rPr>
              <w:t> </w:t>
            </w:r>
            <w:r w:rsidR="00142B0B" w:rsidRPr="00D42C4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This lesson is about news and the media</w:t>
            </w:r>
            <w:r w:rsidR="00D42C4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.</w:t>
            </w:r>
          </w:p>
          <w:p w14:paraId="4462A58B" w14:textId="4570E455" w:rsidR="00D42C42" w:rsidRPr="00D42C42" w:rsidRDefault="00D42C42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Language objectives:</w:t>
            </w:r>
          </w:p>
          <w:p w14:paraId="55D1BBA7" w14:textId="59B41B28" w:rsidR="00142B0B" w:rsidRPr="00D42C42" w:rsidRDefault="00142B0B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D42C4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• To practise speaking skills</w:t>
            </w:r>
          </w:p>
          <w:p w14:paraId="6A18E768" w14:textId="77777777" w:rsidR="00142B0B" w:rsidRPr="00D42C42" w:rsidRDefault="00142B0B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D42C4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• To predict content from a headline</w:t>
            </w:r>
          </w:p>
          <w:p w14:paraId="587276A4" w14:textId="77777777" w:rsidR="00142B0B" w:rsidRPr="00D42C42" w:rsidRDefault="00142B0B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</w:pPr>
            <w:r w:rsidRPr="00D42C4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• To develop summarising skills</w:t>
            </w:r>
          </w:p>
          <w:p w14:paraId="011BF1E2" w14:textId="78A100F1" w:rsidR="00311D12" w:rsidRDefault="00142B0B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r w:rsidRPr="00D42C42">
              <w:rPr>
                <w:rFonts w:asciiTheme="minorHAnsi" w:eastAsia="Arial" w:hAnsiTheme="minorHAnsi" w:cs="Arial"/>
                <w:color w:val="000000"/>
                <w:sz w:val="24"/>
                <w:szCs w:val="24"/>
              </w:rPr>
              <w:t>• To practise question formation</w:t>
            </w:r>
            <w:r w:rsidRPr="00142B0B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34653A72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CA451E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0749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311D12" w14:paraId="09BA4232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91E2C8" w14:textId="77777777" w:rsidR="006F39E9" w:rsidRPr="00D42C42" w:rsidRDefault="00F26487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bookmarkStart w:id="5" w:name="tyjcwt" w:colFirst="0" w:colLast="0"/>
            <w:bookmarkEnd w:id="5"/>
            <w:r w:rsidRPr="00D42C42">
              <w:rPr>
                <w:rFonts w:asciiTheme="minorHAnsi" w:eastAsia="Arial" w:hAnsiTheme="minorHAnsi"/>
                <w:sz w:val="24"/>
                <w:szCs w:val="24"/>
              </w:rPr>
              <w:t>  </w:t>
            </w:r>
            <w:r w:rsidR="00142B0B" w:rsidRPr="00D42C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>Task 1</w:t>
            </w:r>
          </w:p>
          <w:p w14:paraId="46647F88" w14:textId="1B1CB4E1" w:rsidR="00142B0B" w:rsidRPr="00D42C42" w:rsidRDefault="00142B0B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="006F39E9" w:rsidRPr="00D42C42">
              <w:rPr>
                <w:rFonts w:asciiTheme="minorHAnsi" w:eastAsia="Arial" w:hAnsiTheme="minorHAnsi"/>
                <w:sz w:val="24"/>
                <w:szCs w:val="24"/>
              </w:rPr>
              <w:t>-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get students </w:t>
            </w:r>
            <w:r w:rsidR="00953B14">
              <w:rPr>
                <w:rFonts w:asciiTheme="minorHAnsi" w:eastAsia="Arial" w:hAnsiTheme="minorHAnsi"/>
                <w:sz w:val="24"/>
                <w:szCs w:val="24"/>
              </w:rPr>
              <w:t>to talk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about the news. </w:t>
            </w:r>
            <w:r w:rsidR="006F39E9" w:rsidRPr="00D42C42">
              <w:rPr>
                <w:rFonts w:asciiTheme="minorHAnsi" w:eastAsia="Arial" w:hAnsiTheme="minorHAnsi"/>
                <w:sz w:val="24"/>
                <w:szCs w:val="24"/>
              </w:rPr>
              <w:t>The idea is to get students thinking about how they find out about what’s happening in the world and</w:t>
            </w:r>
            <w:r w:rsidR="00953B14">
              <w:rPr>
                <w:rFonts w:asciiTheme="minorHAnsi" w:eastAsia="Arial" w:hAnsiTheme="minorHAnsi"/>
                <w:sz w:val="24"/>
                <w:szCs w:val="24"/>
              </w:rPr>
              <w:t xml:space="preserve"> if</w:t>
            </w:r>
            <w:r w:rsidR="006F39E9"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they consider it important to be informed </w:t>
            </w:r>
            <w:r w:rsidR="00953B14">
              <w:rPr>
                <w:rFonts w:asciiTheme="minorHAnsi" w:eastAsia="Arial" w:hAnsiTheme="minorHAnsi"/>
                <w:sz w:val="24"/>
                <w:szCs w:val="24"/>
              </w:rPr>
              <w:t xml:space="preserve">about </w:t>
            </w:r>
            <w:r w:rsidR="006F39E9" w:rsidRPr="00D42C42">
              <w:rPr>
                <w:rFonts w:asciiTheme="minorHAnsi" w:eastAsia="Arial" w:hAnsiTheme="minorHAnsi"/>
                <w:sz w:val="24"/>
                <w:szCs w:val="24"/>
              </w:rPr>
              <w:t>current affairs.</w:t>
            </w:r>
          </w:p>
          <w:p w14:paraId="24CE07AC" w14:textId="77777777" w:rsidR="006F39E9" w:rsidRPr="00D42C42" w:rsidRDefault="006F39E9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45C05C7C" w14:textId="77777777" w:rsidR="006F39E9" w:rsidRPr="00D42C42" w:rsidRDefault="00142B0B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>Task 2</w:t>
            </w:r>
          </w:p>
          <w:p w14:paraId="1F8686AD" w14:textId="320E55C5" w:rsidR="00142B0B" w:rsidRDefault="006F39E9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>-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>ask students to consider the advantages and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 xml:space="preserve">disadvantages of the four main media sources – TV, the internet, newspapers and radio. 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Students can do this in group and their answers can be later compared. </w:t>
            </w:r>
          </w:p>
          <w:p w14:paraId="6AFD30BE" w14:textId="77777777" w:rsidR="00D42C42" w:rsidRPr="00D42C42" w:rsidRDefault="00D42C42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5E907DC0" w14:textId="77777777" w:rsidR="006F39E9" w:rsidRPr="00D42C42" w:rsidRDefault="00142B0B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>Task 3</w:t>
            </w:r>
          </w:p>
          <w:p w14:paraId="3498490C" w14:textId="2BD23239" w:rsidR="00142B0B" w:rsidRDefault="006F39E9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>-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look at headlines and asks students to invent the story behind the headline. 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>Cut up the headlines into strips and give each pair or group just one headline to work with. Encourage the students to use their imaginations and to</w:t>
            </w:r>
            <w:r w:rsidR="00953B14">
              <w:rPr>
                <w:rFonts w:asciiTheme="minorHAnsi" w:eastAsia="Arial" w:hAnsiTheme="minorHAnsi"/>
                <w:sz w:val="24"/>
                <w:szCs w:val="24"/>
              </w:rPr>
              <w:t xml:space="preserve"> create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a story</w:t>
            </w:r>
            <w:r w:rsidR="00D42C42" w:rsidRPr="00D42C42">
              <w:rPr>
                <w:rFonts w:asciiTheme="minorHAnsi" w:eastAsia="Arial" w:hAnsiTheme="minorHAnsi"/>
                <w:sz w:val="24"/>
                <w:szCs w:val="24"/>
              </w:rPr>
              <w:t xml:space="preserve">. </w:t>
            </w:r>
          </w:p>
          <w:p w14:paraId="5D547374" w14:textId="77777777" w:rsidR="00D42C42" w:rsidRPr="00D42C42" w:rsidRDefault="00D42C42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629B00F4" w14:textId="340AE6AD" w:rsidR="006F39E9" w:rsidRPr="00D42C42" w:rsidRDefault="00142B0B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Task 4 </w:t>
            </w:r>
          </w:p>
          <w:p w14:paraId="054570D1" w14:textId="0324E4B9" w:rsidR="00142B0B" w:rsidRPr="00D42C42" w:rsidRDefault="006F39E9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lastRenderedPageBreak/>
              <w:t>-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>require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>students to summarise an article.</w:t>
            </w:r>
            <w:r w:rsidRPr="00D42C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Ask students to choose an article from real newspapers </w:t>
            </w:r>
            <w:r w:rsidR="00953B14">
              <w:rPr>
                <w:rFonts w:asciiTheme="minorHAnsi" w:eastAsia="Arial" w:hAnsiTheme="minorHAnsi"/>
                <w:sz w:val="24"/>
                <w:szCs w:val="24"/>
              </w:rPr>
              <w:t>and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to read it carefully. Explain that they are then going to give a summary of the article to the rest of the class. They will need to pick out the important parts and make sure they have the vocabulary they need.</w:t>
            </w:r>
          </w:p>
          <w:p w14:paraId="141B2C32" w14:textId="731FF661" w:rsidR="006F39E9" w:rsidRPr="00D42C42" w:rsidRDefault="006F39E9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</w:p>
          <w:p w14:paraId="0EAC8883" w14:textId="77777777" w:rsidR="006F39E9" w:rsidRPr="00D42C42" w:rsidRDefault="00142B0B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>Task 5</w:t>
            </w:r>
          </w:p>
          <w:p w14:paraId="16E5D21C" w14:textId="60CE4CA9" w:rsidR="00311D12" w:rsidRPr="00D42C42" w:rsidRDefault="006F39E9" w:rsidP="00D42C42">
            <w:pPr>
              <w:spacing w:line="360" w:lineRule="auto"/>
              <w:jc w:val="both"/>
              <w:rPr>
                <w:rFonts w:asciiTheme="minorHAnsi" w:eastAsia="Arial" w:hAnsiTheme="minorHAnsi"/>
                <w:sz w:val="24"/>
                <w:szCs w:val="24"/>
              </w:rPr>
            </w:pPr>
            <w:r w:rsidRPr="00D42C42">
              <w:rPr>
                <w:rFonts w:asciiTheme="minorHAnsi" w:eastAsia="Arial" w:hAnsiTheme="minorHAnsi"/>
                <w:sz w:val="24"/>
                <w:szCs w:val="24"/>
              </w:rPr>
              <w:t>-</w:t>
            </w:r>
            <w:r w:rsidR="00142B0B" w:rsidRPr="00D42C42">
              <w:rPr>
                <w:rFonts w:asciiTheme="minorHAnsi" w:eastAsia="Arial" w:hAnsiTheme="minorHAnsi"/>
                <w:sz w:val="24"/>
                <w:szCs w:val="24"/>
              </w:rPr>
              <w:t xml:space="preserve"> ask students to step into the role of a news reporter to carry out an interview with a politi</w:t>
            </w:r>
            <w:r w:rsidRPr="00D42C42">
              <w:rPr>
                <w:rFonts w:asciiTheme="minorHAnsi" w:eastAsia="Arial" w:hAnsiTheme="minorHAnsi"/>
                <w:sz w:val="24"/>
                <w:szCs w:val="24"/>
              </w:rPr>
              <w:t>cian.</w:t>
            </w:r>
            <w:r w:rsidR="00D42C42" w:rsidRPr="00D42C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42C42" w:rsidRPr="00D42C42">
              <w:rPr>
                <w:rFonts w:asciiTheme="minorHAnsi" w:eastAsia="Arial" w:hAnsiTheme="minorHAnsi"/>
                <w:sz w:val="24"/>
                <w:szCs w:val="24"/>
              </w:rPr>
              <w:t>Students can work in pairs to produce six questions and role-play as if they were in a TV programme.</w:t>
            </w:r>
            <w:r w:rsidR="00D42C42" w:rsidRPr="00D42C42">
              <w:rPr>
                <w:rFonts w:eastAsia="Arial"/>
              </w:rPr>
              <w:t xml:space="preserve"> </w:t>
            </w:r>
          </w:p>
        </w:tc>
      </w:tr>
    </w:tbl>
    <w:p w14:paraId="498A34F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7A236410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1EE42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Materials / Equipment:</w:t>
            </w:r>
          </w:p>
        </w:tc>
      </w:tr>
      <w:tr w:rsidR="00311D12" w14:paraId="588CDE0C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2A6FC" w14:textId="7BF0624F" w:rsidR="00311D12" w:rsidRDefault="00D42C42" w:rsidP="00142B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color w:val="000000"/>
                <w:sz w:val="24"/>
                <w:szCs w:val="24"/>
              </w:rPr>
              <w:t xml:space="preserve">Computer, internet, newspapers, board, </w:t>
            </w:r>
          </w:p>
        </w:tc>
      </w:tr>
    </w:tbl>
    <w:p w14:paraId="2F2F5DA8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045C687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8D411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References/ theories/ teaching methods used:</w:t>
            </w:r>
          </w:p>
        </w:tc>
      </w:tr>
      <w:tr w:rsidR="00311D12" w14:paraId="1DDE0E50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1F8FD7" w14:textId="4276DEF2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  <w:r>
              <w:rPr>
                <w:rFonts w:ascii="Arial" w:eastAsia="Arial" w:hAnsi="Arial" w:cs="Arial"/>
                <w:color w:val="000000"/>
              </w:rPr>
              <w:t>     </w:t>
            </w:r>
            <w:r w:rsidR="00953B14">
              <w:rPr>
                <w:rFonts w:ascii="Arial" w:eastAsia="Arial" w:hAnsi="Arial" w:cs="Arial"/>
                <w:color w:val="000000"/>
              </w:rPr>
              <w:t>Cooperative learning</w:t>
            </w:r>
          </w:p>
        </w:tc>
      </w:tr>
    </w:tbl>
    <w:p w14:paraId="6AD7D96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311D12" w14:paraId="67198DD2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CCD36" w14:textId="77777777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Evaluation of the objectives acquired:</w:t>
            </w:r>
          </w:p>
        </w:tc>
      </w:tr>
      <w:tr w:rsidR="00311D12" w14:paraId="1482A001" w14:textId="77777777" w:rsidTr="00F26487">
        <w:trPr>
          <w:trHeight w:val="102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629F35" w14:textId="33255DED" w:rsidR="00311D12" w:rsidRDefault="00F2648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8" w:name="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3625E7">
              <w:rPr>
                <w:rFonts w:ascii="Arial" w:eastAsia="Arial" w:hAnsi="Arial" w:cs="Arial"/>
                <w:color w:val="000000"/>
              </w:rPr>
              <w:t xml:space="preserve">Formative evaluation – students fill in </w:t>
            </w:r>
            <w:r w:rsidR="00953B14">
              <w:rPr>
                <w:rFonts w:ascii="Arial" w:eastAsia="Arial" w:hAnsi="Arial" w:cs="Arial"/>
                <w:color w:val="000000"/>
              </w:rPr>
              <w:t xml:space="preserve">a questionnaire about their achievement in class. </w:t>
            </w:r>
          </w:p>
        </w:tc>
      </w:tr>
    </w:tbl>
    <w:p w14:paraId="7241017B" w14:textId="77777777" w:rsidR="00311D12" w:rsidRDefault="00311D1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311D12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323E3"/>
    <w:multiLevelType w:val="hybridMultilevel"/>
    <w:tmpl w:val="740EB21C"/>
    <w:lvl w:ilvl="0" w:tplc="A7D41600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2"/>
    <w:rsid w:val="00142B0B"/>
    <w:rsid w:val="00311D12"/>
    <w:rsid w:val="003625E7"/>
    <w:rsid w:val="003E16BA"/>
    <w:rsid w:val="006F39E9"/>
    <w:rsid w:val="00953B14"/>
    <w:rsid w:val="00A151D0"/>
    <w:rsid w:val="00BD116B"/>
    <w:rsid w:val="00D42C42"/>
    <w:rsid w:val="00F26487"/>
    <w:rsid w:val="00F3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B97DC"/>
  <w15:docId w15:val="{26E10A7C-A2FF-43C4-9E86-137BB8C7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93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93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26487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64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Manuela</cp:lastModifiedBy>
  <cp:revision>3</cp:revision>
  <dcterms:created xsi:type="dcterms:W3CDTF">2021-09-27T11:45:00Z</dcterms:created>
  <dcterms:modified xsi:type="dcterms:W3CDTF">2022-03-21T18:31:00Z</dcterms:modified>
</cp:coreProperties>
</file>