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F" w:rsidRPr="00ED39FF" w:rsidRDefault="00ED39FF" w:rsidP="00ED39FF">
      <w:pPr>
        <w:pStyle w:val="Corpo"/>
        <w:rPr>
          <w:rFonts w:ascii="Bahnschrift SemiBold" w:eastAsia="Bodoni SvtyTwo SC ITC TT-Book" w:hAnsi="Bahnschrift SemiBold" w:cs="Bodoni SvtyTwo SC ITC TT-Book"/>
          <w:color w:val="FF2600"/>
          <w:sz w:val="56"/>
          <w:szCs w:val="56"/>
        </w:rPr>
      </w:pPr>
      <w:r w:rsidRPr="00ED39FF">
        <w:rPr>
          <w:rFonts w:ascii="Bahnschrift SemiBold" w:hAnsi="Bahnschrift SemiBold"/>
          <w:color w:val="FF2600"/>
          <w:sz w:val="56"/>
          <w:szCs w:val="56"/>
        </w:rPr>
        <w:t xml:space="preserve">la </w:t>
      </w:r>
      <w:proofErr w:type="spellStart"/>
      <w:r w:rsidRPr="00ED39FF">
        <w:rPr>
          <w:rFonts w:ascii="Bahnschrift SemiBold" w:hAnsi="Bahnschrift SemiBold"/>
          <w:color w:val="FF2600"/>
          <w:sz w:val="56"/>
          <w:szCs w:val="56"/>
        </w:rPr>
        <w:t>représentation</w:t>
      </w:r>
      <w:proofErr w:type="spellEnd"/>
      <w:r w:rsidRPr="00ED39FF">
        <w:rPr>
          <w:rFonts w:ascii="Bahnschrift SemiBold" w:hAnsi="Bahnschrift SemiBold"/>
          <w:color w:val="FF2600"/>
          <w:sz w:val="56"/>
          <w:szCs w:val="56"/>
        </w:rPr>
        <w:t xml:space="preserve"> de la lune à </w:t>
      </w:r>
      <w:proofErr w:type="spellStart"/>
      <w:r w:rsidRPr="00ED39FF">
        <w:rPr>
          <w:rFonts w:ascii="Bahnschrift SemiBold" w:hAnsi="Bahnschrift SemiBold"/>
          <w:color w:val="FF2600"/>
          <w:sz w:val="56"/>
          <w:szCs w:val="56"/>
        </w:rPr>
        <w:t>travers</w:t>
      </w:r>
      <w:proofErr w:type="spellEnd"/>
      <w:r w:rsidRPr="00ED39FF">
        <w:rPr>
          <w:rFonts w:ascii="Bahnschrift SemiBold" w:hAnsi="Bahnschrift SemiBold"/>
          <w:color w:val="FF2600"/>
          <w:sz w:val="56"/>
          <w:szCs w:val="56"/>
        </w:rPr>
        <w:t xml:space="preserve"> </w:t>
      </w:r>
      <w:proofErr w:type="spellStart"/>
      <w:r w:rsidRPr="00ED39FF">
        <w:rPr>
          <w:rFonts w:ascii="Bahnschrift SemiBold" w:hAnsi="Bahnschrift SemiBold"/>
          <w:color w:val="FF2600"/>
          <w:sz w:val="56"/>
          <w:szCs w:val="56"/>
        </w:rPr>
        <w:t>les</w:t>
      </w:r>
      <w:proofErr w:type="spellEnd"/>
      <w:r w:rsidRPr="00ED39FF">
        <w:rPr>
          <w:rFonts w:ascii="Bahnschrift SemiBold" w:hAnsi="Bahnschrift SemiBold"/>
          <w:color w:val="FF2600"/>
          <w:sz w:val="56"/>
          <w:szCs w:val="56"/>
        </w:rPr>
        <w:t xml:space="preserve"> </w:t>
      </w:r>
      <w:proofErr w:type="spellStart"/>
      <w:r w:rsidRPr="00ED39FF">
        <w:rPr>
          <w:rFonts w:ascii="Bahnschrift SemiBold" w:hAnsi="Bahnschrift SemiBold"/>
          <w:color w:val="FF2600"/>
          <w:sz w:val="56"/>
          <w:szCs w:val="56"/>
        </w:rPr>
        <w:t>âges</w:t>
      </w:r>
      <w:proofErr w:type="spellEnd"/>
    </w:p>
    <w:p w:rsidR="00ED39FF" w:rsidRDefault="00ED39FF" w:rsidP="00ED39FF">
      <w:pPr>
        <w:pStyle w:val="Corpo"/>
        <w:rPr>
          <w:rFonts w:ascii="Georgia" w:eastAsia="Georgia" w:hAnsi="Georgia" w:cs="Georgia"/>
          <w:sz w:val="48"/>
          <w:szCs w:val="48"/>
        </w:rPr>
      </w:pPr>
    </w:p>
    <w:p w:rsidR="00ED39FF" w:rsidRPr="00ED39FF" w:rsidRDefault="00DA5EB2" w:rsidP="00DA5EB2">
      <w:pPr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Le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nom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de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planète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dérive de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celui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de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divinité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romaine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du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même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nom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, en latin Luna,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correspondant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de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Selene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grecque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,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personnification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de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pleine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lune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et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souvent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associée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à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Ecate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(la lune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descendante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)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et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>surtout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  <w:t xml:space="preserve"> à Artemide (la nouvelle lune).</w:t>
      </w:r>
    </w:p>
    <w:p w:rsidR="00ED39FF" w:rsidRPr="00ED39FF" w:rsidRDefault="00ED39FF" w:rsidP="00DA5EB2">
      <w:pPr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</w:p>
    <w:p w:rsidR="00ED39FF" w:rsidRPr="00ED39FF" w:rsidRDefault="00ED39FF" w:rsidP="00ED39FF">
      <w:pPr>
        <w:jc w:val="center"/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  <w:r>
        <w:rPr>
          <w:noProof/>
          <w:lang w:eastAsia="it-IT"/>
        </w:rPr>
        <w:drawing>
          <wp:inline distT="0" distB="0" distL="0" distR="0">
            <wp:extent cx="4019550" cy="3219450"/>
            <wp:effectExtent l="19050" t="0" r="0" b="0"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07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FF" w:rsidRPr="00ED39FF" w:rsidRDefault="00ED39FF" w:rsidP="00DA5EB2">
      <w:pPr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</w:p>
    <w:p w:rsidR="00ED39FF" w:rsidRPr="00ED39FF" w:rsidRDefault="00ED39FF" w:rsidP="00DA5EB2">
      <w:pPr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</w:p>
    <w:p w:rsidR="00ED39FF" w:rsidRPr="00ED39FF" w:rsidRDefault="00ED39FF" w:rsidP="00DA5EB2">
      <w:pPr>
        <w:rPr>
          <w:rFonts w:ascii="Bahnschrift" w:hAnsi="Bahnschrift" w:cs="Tahoma"/>
          <w:color w:val="000000"/>
          <w:sz w:val="44"/>
          <w:szCs w:val="44"/>
          <w:shd w:val="clear" w:color="auto" w:fill="DBDFF3"/>
        </w:rPr>
      </w:pPr>
    </w:p>
    <w:p w:rsidR="00871533" w:rsidRPr="00ED39FF" w:rsidRDefault="00DA5EB2" w:rsidP="00DA5EB2">
      <w:pPr>
        <w:rPr>
          <w:rFonts w:ascii="Bahnschrift" w:hAnsi="Bahnschrift"/>
          <w:sz w:val="44"/>
          <w:szCs w:val="44"/>
        </w:rPr>
      </w:pPr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lastRenderedPageBreak/>
        <w:t xml:space="preserve">La Lune 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toujours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été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l’un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éléments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essentiels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de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mythologie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et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de la culture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populaire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.</w:t>
      </w:r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7F7F7"/>
        </w:rPr>
        <w:t> 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Dans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les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anciennes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cultures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, l’idée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était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répandue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que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la Lune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mourrait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chaque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nuit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pour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tomber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dans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le monde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ombres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ou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qu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’elle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était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impliquée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dans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une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poursuite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continue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avec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le Soleil,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tandis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que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dans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la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mythologie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médiévale, à la lumière de la Lune se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transforment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les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loups-garous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et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à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ses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phases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étaient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liées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les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réunions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des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sorcières</w:t>
      </w:r>
      <w:proofErr w:type="spellEnd"/>
      <w:r w:rsidRPr="00ED39FF">
        <w:rPr>
          <w:rFonts w:ascii="Bahnschrift" w:hAnsi="Bahnschrift" w:cs="Tahoma"/>
          <w:color w:val="000000"/>
          <w:sz w:val="44"/>
          <w:szCs w:val="44"/>
          <w:shd w:val="clear" w:color="auto" w:fill="FFFFFF"/>
        </w:rPr>
        <w:t>.</w:t>
      </w:r>
    </w:p>
    <w:sectPr w:rsidR="00871533" w:rsidRPr="00ED39FF" w:rsidSect="0087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SvtyTwo SC ITC TT-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EB2"/>
    <w:rsid w:val="00871533"/>
    <w:rsid w:val="00DA5EB2"/>
    <w:rsid w:val="00E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D3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2019-11-10T15:55:00Z</dcterms:created>
  <dcterms:modified xsi:type="dcterms:W3CDTF">2019-11-10T16:15:00Z</dcterms:modified>
</cp:coreProperties>
</file>