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DEB" w:rsidRDefault="006F2DEB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4157980</wp:posOffset>
            </wp:positionH>
            <wp:positionV relativeFrom="margin">
              <wp:posOffset>624205</wp:posOffset>
            </wp:positionV>
            <wp:extent cx="1666875" cy="1857375"/>
            <wp:effectExtent l="304800" t="247650" r="295275" b="200025"/>
            <wp:wrapSquare wrapText="bothSides"/>
            <wp:docPr id="1" name="Obraz 0" descr="Janeszkows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eszkowski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85737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6F2DEB" w:rsidRPr="006F2DEB" w:rsidRDefault="006F2DEB" w:rsidP="006F2D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pl-PL"/>
        </w:rPr>
      </w:pPr>
      <w:r w:rsidRPr="006F2DEB">
        <w:rPr>
          <w:rFonts w:ascii="inherit" w:eastAsia="Times New Roman" w:hAnsi="inherit" w:cs="Courier New"/>
          <w:color w:val="212121"/>
          <w:sz w:val="20"/>
          <w:szCs w:val="20"/>
          <w:lang w:eastAsia="pl-PL"/>
        </w:rPr>
        <w:t>(1888 - 1920)</w:t>
      </w:r>
    </w:p>
    <w:p w:rsidR="006F2DEB" w:rsidRPr="006F2DEB" w:rsidRDefault="006F2DEB" w:rsidP="006F2D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pl-PL"/>
        </w:rPr>
      </w:pPr>
      <w:r w:rsidRPr="006F2DEB">
        <w:rPr>
          <w:rFonts w:ascii="inherit" w:eastAsia="Times New Roman" w:hAnsi="inherit" w:cs="Courier New"/>
          <w:color w:val="212121"/>
          <w:sz w:val="20"/>
          <w:szCs w:val="20"/>
          <w:lang w:eastAsia="pl-PL"/>
        </w:rPr>
        <w:t>Co-founder of the Warsaw school of mathematics, initiator and co-founder of the journal "</w:t>
      </w:r>
      <w:proofErr w:type="spellStart"/>
      <w:r w:rsidRPr="006F2DEB">
        <w:rPr>
          <w:rFonts w:ascii="inherit" w:eastAsia="Times New Roman" w:hAnsi="inherit" w:cs="Courier New"/>
          <w:color w:val="212121"/>
          <w:sz w:val="20"/>
          <w:szCs w:val="20"/>
          <w:lang w:eastAsia="pl-PL"/>
        </w:rPr>
        <w:t>Fundamenta</w:t>
      </w:r>
      <w:proofErr w:type="spellEnd"/>
      <w:r w:rsidRPr="006F2DEB">
        <w:rPr>
          <w:rFonts w:ascii="inherit" w:eastAsia="Times New Roman" w:hAnsi="inherit" w:cs="Courier New"/>
          <w:color w:val="212121"/>
          <w:sz w:val="20"/>
          <w:szCs w:val="20"/>
          <w:lang w:eastAsia="pl-PL"/>
        </w:rPr>
        <w:t xml:space="preserve"> </w:t>
      </w:r>
      <w:proofErr w:type="spellStart"/>
      <w:r w:rsidRPr="006F2DEB">
        <w:rPr>
          <w:rFonts w:ascii="inherit" w:eastAsia="Times New Roman" w:hAnsi="inherit" w:cs="Courier New"/>
          <w:color w:val="212121"/>
          <w:sz w:val="20"/>
          <w:szCs w:val="20"/>
          <w:lang w:eastAsia="pl-PL"/>
        </w:rPr>
        <w:t>Mathematicae</w:t>
      </w:r>
      <w:proofErr w:type="spellEnd"/>
      <w:r w:rsidRPr="006F2DEB">
        <w:rPr>
          <w:rFonts w:ascii="inherit" w:eastAsia="Times New Roman" w:hAnsi="inherit" w:cs="Courier New"/>
          <w:color w:val="212121"/>
          <w:sz w:val="20"/>
          <w:szCs w:val="20"/>
          <w:lang w:eastAsia="pl-PL"/>
        </w:rPr>
        <w:t>", devoted to the set theory, topology and the foundations of mathematics, a prominent organizer of mathematics in Poland.</w:t>
      </w:r>
    </w:p>
    <w:p w:rsidR="006F2DEB" w:rsidRPr="006F2DEB" w:rsidRDefault="006F2DEB" w:rsidP="006F2D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pl-PL"/>
        </w:rPr>
      </w:pPr>
      <w:proofErr w:type="spellStart"/>
      <w:r w:rsidRPr="006F2DEB">
        <w:rPr>
          <w:rFonts w:ascii="inherit" w:eastAsia="Times New Roman" w:hAnsi="inherit" w:cs="Courier New"/>
          <w:color w:val="212121"/>
          <w:sz w:val="20"/>
          <w:szCs w:val="20"/>
          <w:lang w:eastAsia="pl-PL"/>
        </w:rPr>
        <w:t>Janiszewski</w:t>
      </w:r>
      <w:proofErr w:type="spellEnd"/>
      <w:r w:rsidRPr="006F2DEB">
        <w:rPr>
          <w:rFonts w:ascii="inherit" w:eastAsia="Times New Roman" w:hAnsi="inherit" w:cs="Courier New"/>
          <w:color w:val="212121"/>
          <w:sz w:val="20"/>
          <w:szCs w:val="20"/>
          <w:lang w:eastAsia="pl-PL"/>
        </w:rPr>
        <w:t xml:space="preserve"> studied in Zurich and </w:t>
      </w:r>
      <w:proofErr w:type="spellStart"/>
      <w:r w:rsidRPr="006F2DEB">
        <w:rPr>
          <w:rFonts w:ascii="inherit" w:eastAsia="Times New Roman" w:hAnsi="inherit" w:cs="Courier New"/>
          <w:color w:val="212121"/>
          <w:sz w:val="20"/>
          <w:szCs w:val="20"/>
          <w:lang w:eastAsia="pl-PL"/>
        </w:rPr>
        <w:t>Göttingen</w:t>
      </w:r>
      <w:proofErr w:type="spellEnd"/>
      <w:r w:rsidRPr="006F2DEB">
        <w:rPr>
          <w:rFonts w:ascii="inherit" w:eastAsia="Times New Roman" w:hAnsi="inherit" w:cs="Courier New"/>
          <w:color w:val="212121"/>
          <w:sz w:val="20"/>
          <w:szCs w:val="20"/>
          <w:lang w:eastAsia="pl-PL"/>
        </w:rPr>
        <w:t xml:space="preserve"> and Paris, where he received a doctorate in mathematical sciences.</w:t>
      </w:r>
    </w:p>
    <w:p w:rsidR="006F2DEB" w:rsidRPr="006F2DEB" w:rsidRDefault="006F2DEB" w:rsidP="006F2D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pl-PL"/>
        </w:rPr>
      </w:pPr>
      <w:r w:rsidRPr="006F2DEB">
        <w:rPr>
          <w:rFonts w:ascii="inherit" w:eastAsia="Times New Roman" w:hAnsi="inherit" w:cs="Courier New"/>
          <w:color w:val="212121"/>
          <w:sz w:val="20"/>
          <w:szCs w:val="20"/>
          <w:lang w:eastAsia="pl-PL"/>
        </w:rPr>
        <w:t>Courses taught at Scientific (scientific institution in the years 1906-1915 focuses Polish intellectual elite of the Russian sector), as well as at the University of Lvov. In 1915. He was appointed lecturer reviving the University of Warsaw.</w:t>
      </w:r>
    </w:p>
    <w:p w:rsidR="006F2DEB" w:rsidRPr="006F2DEB" w:rsidRDefault="006F2DEB" w:rsidP="006F2D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pl-PL"/>
        </w:rPr>
      </w:pPr>
      <w:proofErr w:type="spellStart"/>
      <w:r w:rsidRPr="006F2DEB">
        <w:rPr>
          <w:rFonts w:ascii="inherit" w:eastAsia="Times New Roman" w:hAnsi="inherit" w:cs="Courier New"/>
          <w:color w:val="212121"/>
          <w:sz w:val="20"/>
          <w:szCs w:val="20"/>
          <w:lang w:eastAsia="pl-PL"/>
        </w:rPr>
        <w:t>Janiszewski</w:t>
      </w:r>
      <w:proofErr w:type="spellEnd"/>
      <w:r w:rsidRPr="006F2DEB">
        <w:rPr>
          <w:rFonts w:ascii="inherit" w:eastAsia="Times New Roman" w:hAnsi="inherit" w:cs="Courier New"/>
          <w:color w:val="212121"/>
          <w:sz w:val="20"/>
          <w:szCs w:val="20"/>
          <w:lang w:eastAsia="pl-PL"/>
        </w:rPr>
        <w:t xml:space="preserve"> research interests mainly related to the topology. The work in this area gave statements which still retain essential and are known in the literature as a mathematical theorem </w:t>
      </w:r>
      <w:proofErr w:type="spellStart"/>
      <w:r w:rsidRPr="006F2DEB">
        <w:rPr>
          <w:rFonts w:ascii="inherit" w:eastAsia="Times New Roman" w:hAnsi="inherit" w:cs="Courier New"/>
          <w:color w:val="212121"/>
          <w:sz w:val="20"/>
          <w:szCs w:val="20"/>
          <w:lang w:eastAsia="pl-PL"/>
        </w:rPr>
        <w:t>Janiszewski</w:t>
      </w:r>
      <w:proofErr w:type="spellEnd"/>
      <w:r w:rsidRPr="006F2DEB">
        <w:rPr>
          <w:rFonts w:ascii="inherit" w:eastAsia="Times New Roman" w:hAnsi="inherit" w:cs="Courier New"/>
          <w:color w:val="212121"/>
          <w:sz w:val="20"/>
          <w:szCs w:val="20"/>
          <w:lang w:eastAsia="pl-PL"/>
        </w:rPr>
        <w:t>.</w:t>
      </w:r>
    </w:p>
    <w:p w:rsidR="006F2DEB" w:rsidRPr="006F2DEB" w:rsidRDefault="006F2DEB" w:rsidP="006F2D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pl-PL"/>
        </w:rPr>
      </w:pPr>
      <w:r w:rsidRPr="006F2DEB">
        <w:rPr>
          <w:rFonts w:ascii="inherit" w:eastAsia="Times New Roman" w:hAnsi="inherit" w:cs="Courier New"/>
          <w:color w:val="212121"/>
          <w:sz w:val="20"/>
          <w:szCs w:val="20"/>
          <w:lang w:eastAsia="pl-PL"/>
        </w:rPr>
        <w:t>In 1915 she published "Handbook of self-taught", a collection of articles many scholars Polish, which is an interesting synthesis of contemporary mathematical knowledge, which published its own series of treatises on mathematics.</w:t>
      </w:r>
    </w:p>
    <w:p w:rsidR="006F2DEB" w:rsidRPr="006F2DEB" w:rsidRDefault="006F2DEB" w:rsidP="006F2D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pl-PL"/>
        </w:rPr>
      </w:pPr>
      <w:r w:rsidRPr="006F2DEB">
        <w:rPr>
          <w:rFonts w:ascii="inherit" w:eastAsia="Times New Roman" w:hAnsi="inherit" w:cs="Courier New"/>
          <w:color w:val="212121"/>
          <w:sz w:val="20"/>
          <w:szCs w:val="20"/>
          <w:lang w:eastAsia="pl-PL"/>
        </w:rPr>
        <w:t xml:space="preserve">In 1918 the University of Warsaw under the direction of </w:t>
      </w:r>
      <w:proofErr w:type="spellStart"/>
      <w:r w:rsidRPr="006F2DEB">
        <w:rPr>
          <w:rFonts w:ascii="inherit" w:eastAsia="Times New Roman" w:hAnsi="inherit" w:cs="Courier New"/>
          <w:color w:val="212121"/>
          <w:sz w:val="20"/>
          <w:szCs w:val="20"/>
          <w:lang w:eastAsia="pl-PL"/>
        </w:rPr>
        <w:t>Janiszewski</w:t>
      </w:r>
      <w:proofErr w:type="spellEnd"/>
      <w:r w:rsidRPr="006F2DEB">
        <w:rPr>
          <w:rFonts w:ascii="inherit" w:eastAsia="Times New Roman" w:hAnsi="inherit" w:cs="Courier New"/>
          <w:color w:val="212121"/>
          <w:sz w:val="20"/>
          <w:szCs w:val="20"/>
          <w:lang w:eastAsia="pl-PL"/>
        </w:rPr>
        <w:t xml:space="preserve"> and </w:t>
      </w:r>
      <w:proofErr w:type="spellStart"/>
      <w:r w:rsidRPr="006F2DEB">
        <w:rPr>
          <w:rFonts w:ascii="inherit" w:eastAsia="Times New Roman" w:hAnsi="inherit" w:cs="Courier New"/>
          <w:color w:val="212121"/>
          <w:sz w:val="20"/>
          <w:szCs w:val="20"/>
          <w:lang w:eastAsia="pl-PL"/>
        </w:rPr>
        <w:t>Mazurkiewicz</w:t>
      </w:r>
      <w:proofErr w:type="spellEnd"/>
      <w:r w:rsidRPr="006F2DEB">
        <w:rPr>
          <w:rFonts w:ascii="inherit" w:eastAsia="Times New Roman" w:hAnsi="inherit" w:cs="Courier New"/>
          <w:color w:val="212121"/>
          <w:sz w:val="20"/>
          <w:szCs w:val="20"/>
          <w:lang w:eastAsia="pl-PL"/>
        </w:rPr>
        <w:t xml:space="preserve"> and </w:t>
      </w:r>
      <w:proofErr w:type="spellStart"/>
      <w:r w:rsidRPr="006F2DEB">
        <w:rPr>
          <w:rFonts w:ascii="inherit" w:eastAsia="Times New Roman" w:hAnsi="inherit" w:cs="Courier New"/>
          <w:color w:val="212121"/>
          <w:sz w:val="20"/>
          <w:szCs w:val="20"/>
          <w:lang w:eastAsia="pl-PL"/>
        </w:rPr>
        <w:t>Sierpinski</w:t>
      </w:r>
      <w:proofErr w:type="spellEnd"/>
      <w:r w:rsidRPr="006F2DEB">
        <w:rPr>
          <w:rFonts w:ascii="inherit" w:eastAsia="Times New Roman" w:hAnsi="inherit" w:cs="Courier New"/>
          <w:color w:val="212121"/>
          <w:sz w:val="20"/>
          <w:szCs w:val="20"/>
          <w:lang w:eastAsia="pl-PL"/>
        </w:rPr>
        <w:t xml:space="preserve"> working group of Polish mathematicians, which concentrated its activities in the field of topology, set theory and their applications. Consistent implementation of the concept </w:t>
      </w:r>
      <w:proofErr w:type="spellStart"/>
      <w:r w:rsidRPr="006F2DEB">
        <w:rPr>
          <w:rFonts w:ascii="inherit" w:eastAsia="Times New Roman" w:hAnsi="inherit" w:cs="Courier New"/>
          <w:color w:val="212121"/>
          <w:sz w:val="20"/>
          <w:szCs w:val="20"/>
          <w:lang w:eastAsia="pl-PL"/>
        </w:rPr>
        <w:t>Janiszewski</w:t>
      </w:r>
      <w:proofErr w:type="spellEnd"/>
      <w:r w:rsidRPr="006F2DEB">
        <w:rPr>
          <w:rFonts w:ascii="inherit" w:eastAsia="Times New Roman" w:hAnsi="inherit" w:cs="Courier New"/>
          <w:color w:val="212121"/>
          <w:sz w:val="20"/>
          <w:szCs w:val="20"/>
          <w:lang w:eastAsia="pl-PL"/>
        </w:rPr>
        <w:t xml:space="preserve"> led to the numbering in the world of the Warsaw school of mathematics.</w:t>
      </w:r>
    </w:p>
    <w:p w:rsidR="006F2DEB" w:rsidRPr="006F2DEB" w:rsidRDefault="006F2DEB" w:rsidP="006F2D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pl-PL"/>
        </w:rPr>
      </w:pPr>
      <w:proofErr w:type="spellStart"/>
      <w:r w:rsidRPr="006F2DEB">
        <w:rPr>
          <w:rFonts w:ascii="inherit" w:eastAsia="Times New Roman" w:hAnsi="inherit" w:cs="Courier New"/>
          <w:color w:val="212121"/>
          <w:sz w:val="20"/>
          <w:szCs w:val="20"/>
          <w:lang w:eastAsia="pl-PL"/>
        </w:rPr>
        <w:t>Janiszewski</w:t>
      </w:r>
      <w:proofErr w:type="spellEnd"/>
      <w:r w:rsidRPr="006F2DEB">
        <w:rPr>
          <w:rFonts w:ascii="inherit" w:eastAsia="Times New Roman" w:hAnsi="inherit" w:cs="Courier New"/>
          <w:color w:val="212121"/>
          <w:sz w:val="20"/>
          <w:szCs w:val="20"/>
          <w:lang w:eastAsia="pl-PL"/>
        </w:rPr>
        <w:t xml:space="preserve"> name was called one of the prizes Polish Mathematical Society.</w:t>
      </w:r>
    </w:p>
    <w:p w:rsidR="00DE4601" w:rsidRDefault="006F2DEB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.45pt;margin-top:-24pt;width:453pt;height:48.75pt;z-index:251660288;mso-position-horizontal-relative:margin;mso-position-vertical-relative:margin" stroked="f">
            <v:fill color2="#aaa" type="gradient"/>
            <v:shadow on="t" color="#4d4d4d" opacity="52429f" offset=",3pt"/>
            <v:textpath style="font-family:&quot;Arial Black&quot;;font-size:44pt;font-style:italic;v-text-spacing:78650f;v-text-kern:t" trim="t" fitpath="t" string="Zygmunt Janieszkowski"/>
            <w10:wrap type="square" anchorx="margin" anchory="margin"/>
          </v:shape>
        </w:pict>
      </w:r>
    </w:p>
    <w:sectPr w:rsidR="00DE4601" w:rsidSect="00DE4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2DEB"/>
    <w:rsid w:val="006F2DEB"/>
    <w:rsid w:val="00DE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6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F2D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F2DE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D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4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2016-12-17T16:57:00Z</dcterms:created>
  <dcterms:modified xsi:type="dcterms:W3CDTF">2016-12-17T17:01:00Z</dcterms:modified>
</cp:coreProperties>
</file>