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Could you state your full name, age and country of origin?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My name is Ruth Paans, I'm 47, almost 48 years old and I come from the UK.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And in what year did you move here?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2002</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Do you encounter problems based on social and cultural differences?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What the rest of the world takes as rudeness the Dutch take as normal conversation. That took a bit of getting used to. Shopping is very different here, the availability of goods, you expect to be roughly the same and it's not. That was quite an eye-opener for 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Do you think this is significantly different from the experiences of people arriving from outside the EU?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I think that when you're arriving from outside the EU you're expecting cultural differences. You're not so surprised. Whereas when you move from within the EU you're expecting things to be roughly the same. So it's more of a surprise that they're not.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 say outside the EU, as of next week the UK won’t be part of it anymore. How much of an effect do you think this could have on UK nationals wanting to move to an EU country? Legally and culturally.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I think there are going to be loads of Brits moving here and to other countries in Western Europe. Yeah, there's going to be loads of them.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Does that have an effect on them as supposed to people that have already moved like you? Would the move be different?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I guess it would be different because I moved with a Dutch husband which helped me be part of Dutch life very quickly. If an English couple were to move to the Netherlands or France or Germany they’re going to find it very different, they’re going to have more problems with language and finding somewhere to live. It will be very different for them.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Lastly, this week you acquired Dutch citizenship, which means you now have dual nationality, British/Dutch. Do you think this will affect your life in a way other than in a legal sense as supposed to how it was before you had this?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It won’t make an awful lot of difference to me other than that I’ll actually be able to vote now. So I’ll have more of a say in what happens in politics.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pgMar w:bottom="720.0000000000001" w:top="720.0000000000001" w:left="720.0000000000001" w:right="720.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