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184B" w14:textId="4C98849E" w:rsidR="00070528" w:rsidRDefault="004C6E47" w:rsidP="004C6E47">
      <w:pPr>
        <w:jc w:val="center"/>
        <w:rPr>
          <w:rFonts w:ascii="Arial Black" w:hAnsi="Arial Black"/>
          <w:b/>
          <w:i/>
          <w:iCs/>
          <w:color w:val="000000" w:themeColor="text1"/>
          <w:sz w:val="48"/>
          <w:szCs w:val="4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b/>
          <w:i/>
          <w:iCs/>
          <w:color w:val="000000" w:themeColor="text1"/>
          <w:sz w:val="48"/>
          <w:szCs w:val="48"/>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 ECOLOGÍA</w:t>
      </w:r>
    </w:p>
    <w:p w14:paraId="7FFEF973" w14:textId="4C49ADD1" w:rsidR="004C6E47" w:rsidRDefault="004C6E47" w:rsidP="004C6E47">
      <w:pPr>
        <w:pStyle w:val="NormalWeb"/>
        <w:shd w:val="clear" w:color="auto" w:fill="FFFFFF"/>
        <w:spacing w:before="0" w:beforeAutospacing="0" w:after="300" w:afterAutospacing="0" w:line="360" w:lineRule="atLeast"/>
        <w:rPr>
          <w:rFonts w:ascii="Open Sans" w:hAnsi="Open Sans" w:cs="Open Sans"/>
          <w:color w:val="444444"/>
        </w:rPr>
      </w:pPr>
      <w:r>
        <w:rPr>
          <w:rFonts w:ascii="Open Sans" w:hAnsi="Open Sans" w:cs="Open Sans"/>
          <w:color w:val="444444"/>
        </w:rPr>
        <w:t>El Gobierno de Asturias y el MITECO han firmado un convenio que permitirá agilizará la restauración de varias zonas mineras, gracias a una subvención que asciende a la suma de 73,7 millones de euros y que serán destinados a la rehabilitación ambiental de una serie de explotaciones mineras asturianas.</w:t>
      </w:r>
    </w:p>
    <w:p w14:paraId="419E0BA9" w14:textId="763ECBCB" w:rsidR="004C6E47" w:rsidRDefault="004C6E47" w:rsidP="004C6E47">
      <w:pPr>
        <w:pStyle w:val="NormalWeb"/>
        <w:numPr>
          <w:ilvl w:val="0"/>
          <w:numId w:val="1"/>
        </w:numPr>
        <w:shd w:val="clear" w:color="auto" w:fill="FFFFFF"/>
        <w:spacing w:before="0" w:beforeAutospacing="0" w:after="300" w:afterAutospacing="0" w:line="360" w:lineRule="atLeast"/>
        <w:rPr>
          <w:rFonts w:ascii="Open Sans" w:hAnsi="Open Sans" w:cs="Open Sans"/>
          <w:color w:val="444444"/>
        </w:rPr>
      </w:pPr>
      <w:r w:rsidRPr="004C6E47">
        <w:rPr>
          <w:rFonts w:ascii="Open Sans" w:hAnsi="Open Sans" w:cs="Open Sans"/>
          <w:color w:val="444444"/>
          <w:shd w:val="clear" w:color="auto" w:fill="E6E8EB"/>
        </w:rPr>
        <w:t xml:space="preserve">El importe total de la subvención asciende a 73,7 millones de euros que se destinarán a la rehabilitación ambiental de las explotaciones de </w:t>
      </w:r>
      <w:proofErr w:type="spellStart"/>
      <w:r w:rsidRPr="004C6E47">
        <w:rPr>
          <w:rFonts w:ascii="Open Sans" w:hAnsi="Open Sans" w:cs="Open Sans"/>
          <w:color w:val="444444"/>
          <w:shd w:val="clear" w:color="auto" w:fill="E6E8EB"/>
        </w:rPr>
        <w:t>Buseiro</w:t>
      </w:r>
      <w:proofErr w:type="spellEnd"/>
      <w:r w:rsidRPr="004C6E47">
        <w:rPr>
          <w:rFonts w:ascii="Open Sans" w:hAnsi="Open Sans" w:cs="Open Sans"/>
          <w:color w:val="444444"/>
          <w:shd w:val="clear" w:color="auto" w:fill="E6E8EB"/>
        </w:rPr>
        <w:t xml:space="preserve"> (Tineo), </w:t>
      </w:r>
      <w:proofErr w:type="spellStart"/>
      <w:r w:rsidRPr="004C6E47">
        <w:rPr>
          <w:rFonts w:ascii="Open Sans" w:hAnsi="Open Sans" w:cs="Open Sans"/>
          <w:color w:val="444444"/>
          <w:shd w:val="clear" w:color="auto" w:fill="E6E8EB"/>
        </w:rPr>
        <w:t>Cerredo</w:t>
      </w:r>
      <w:proofErr w:type="spellEnd"/>
      <w:r w:rsidRPr="004C6E47">
        <w:rPr>
          <w:rFonts w:ascii="Open Sans" w:hAnsi="Open Sans" w:cs="Open Sans"/>
          <w:color w:val="444444"/>
          <w:shd w:val="clear" w:color="auto" w:fill="E6E8EB"/>
        </w:rPr>
        <w:t xml:space="preserve"> (</w:t>
      </w:r>
      <w:proofErr w:type="spellStart"/>
      <w:r w:rsidRPr="004C6E47">
        <w:rPr>
          <w:rFonts w:ascii="Open Sans" w:hAnsi="Open Sans" w:cs="Open Sans"/>
          <w:color w:val="444444"/>
          <w:shd w:val="clear" w:color="auto" w:fill="E6E8EB"/>
        </w:rPr>
        <w:t>Degaña</w:t>
      </w:r>
      <w:proofErr w:type="spellEnd"/>
      <w:r w:rsidRPr="004C6E47">
        <w:rPr>
          <w:rFonts w:ascii="Open Sans" w:hAnsi="Open Sans" w:cs="Open Sans"/>
          <w:color w:val="444444"/>
          <w:shd w:val="clear" w:color="auto" w:fill="E6E8EB"/>
        </w:rPr>
        <w:t xml:space="preserve">) y </w:t>
      </w:r>
      <w:proofErr w:type="spellStart"/>
      <w:r w:rsidRPr="004C6E47">
        <w:rPr>
          <w:rFonts w:ascii="Open Sans" w:hAnsi="Open Sans" w:cs="Open Sans"/>
          <w:color w:val="444444"/>
          <w:shd w:val="clear" w:color="auto" w:fill="E6E8EB"/>
        </w:rPr>
        <w:t>Tormaleo</w:t>
      </w:r>
      <w:proofErr w:type="spellEnd"/>
      <w:r w:rsidRPr="004C6E47">
        <w:rPr>
          <w:rFonts w:ascii="Open Sans" w:hAnsi="Open Sans" w:cs="Open Sans"/>
          <w:color w:val="444444"/>
          <w:shd w:val="clear" w:color="auto" w:fill="E6E8EB"/>
        </w:rPr>
        <w:t xml:space="preserve"> (Ibias) en el suroccidente asturiano</w:t>
      </w:r>
      <w:r w:rsidRPr="004C6E47">
        <w:rPr>
          <w:rFonts w:ascii="Open Sans" w:hAnsi="Open Sans" w:cs="Open Sans"/>
          <w:color w:val="444444"/>
        </w:rPr>
        <w:t xml:space="preserve">. </w:t>
      </w:r>
    </w:p>
    <w:p w14:paraId="6BB37D16" w14:textId="77777777" w:rsidR="004C6E47" w:rsidRDefault="004C6E47" w:rsidP="004C6E47">
      <w:pPr>
        <w:pStyle w:val="NormalWeb"/>
        <w:numPr>
          <w:ilvl w:val="0"/>
          <w:numId w:val="1"/>
        </w:numPr>
        <w:shd w:val="clear" w:color="auto" w:fill="FFFFFF"/>
        <w:spacing w:before="0" w:beforeAutospacing="0" w:after="300" w:afterAutospacing="0" w:line="360" w:lineRule="atLeast"/>
        <w:rPr>
          <w:rFonts w:ascii="Open Sans" w:hAnsi="Open Sans" w:cs="Open Sans"/>
          <w:color w:val="444444"/>
        </w:rPr>
      </w:pPr>
      <w:r>
        <w:rPr>
          <w:rFonts w:ascii="Open Sans" w:hAnsi="Open Sans" w:cs="Open Sans"/>
          <w:color w:val="444444"/>
          <w:shd w:val="clear" w:color="auto" w:fill="E6E8EB"/>
        </w:rPr>
        <w:t>El objetivo de estas ayudas directas trasciende la recuperación del medio natural, preparando el suelo para nuevos usos que impulsen nuevas actividades económicas</w:t>
      </w:r>
      <w:r>
        <w:rPr>
          <w:rFonts w:ascii="Open Sans" w:hAnsi="Open Sans" w:cs="Open Sans"/>
          <w:color w:val="444444"/>
        </w:rPr>
        <w:t>.</w:t>
      </w:r>
    </w:p>
    <w:p w14:paraId="3E1A4561" w14:textId="77777777" w:rsidR="005E4D3D" w:rsidRDefault="004C6E47" w:rsidP="005E4D3D">
      <w:pPr>
        <w:pStyle w:val="NormalWeb"/>
        <w:numPr>
          <w:ilvl w:val="0"/>
          <w:numId w:val="1"/>
        </w:numPr>
        <w:shd w:val="clear" w:color="auto" w:fill="FFFFFF"/>
        <w:spacing w:before="0" w:beforeAutospacing="0" w:after="300" w:afterAutospacing="0" w:line="360" w:lineRule="atLeast"/>
        <w:rPr>
          <w:rFonts w:ascii="Open Sans" w:hAnsi="Open Sans" w:cs="Open Sans"/>
          <w:color w:val="444444"/>
        </w:rPr>
      </w:pPr>
      <w:r>
        <w:rPr>
          <w:rFonts w:ascii="Open Sans" w:hAnsi="Open Sans" w:cs="Open Sans"/>
          <w:color w:val="444444"/>
        </w:rPr>
        <w:t xml:space="preserve"> </w:t>
      </w:r>
      <w:r>
        <w:rPr>
          <w:rFonts w:ascii="Open Sans" w:hAnsi="Open Sans" w:cs="Open Sans"/>
          <w:color w:val="444444"/>
          <w:shd w:val="clear" w:color="auto" w:fill="E6E8EB"/>
        </w:rPr>
        <w:t>Estas actuaciones, que con la aportación del Principado movilizarán una inversión total de 82,4 millones, se desarrollarán durante los próximos tres años, recuperarán 1.167 hectáreas y generarán 150 puestos de trabajo</w:t>
      </w:r>
      <w:r w:rsidR="005E4D3D">
        <w:rPr>
          <w:rFonts w:ascii="Open Sans" w:hAnsi="Open Sans" w:cs="Open Sans"/>
          <w:color w:val="444444"/>
        </w:rPr>
        <w:t>.</w:t>
      </w:r>
    </w:p>
    <w:p w14:paraId="0BBBBACB" w14:textId="4823939B" w:rsidR="005E4D3D" w:rsidRPr="005E4D3D" w:rsidRDefault="005E4D3D" w:rsidP="00C4417A">
      <w:pPr>
        <w:pStyle w:val="NormalWeb"/>
        <w:numPr>
          <w:ilvl w:val="0"/>
          <w:numId w:val="1"/>
        </w:numPr>
        <w:shd w:val="clear" w:color="auto" w:fill="FFFFFF"/>
        <w:spacing w:before="0" w:beforeAutospacing="0" w:after="300" w:afterAutospacing="0" w:line="360" w:lineRule="atLeast"/>
        <w:rPr>
          <w:rFonts w:ascii="Open Sans" w:hAnsi="Open Sans" w:cs="Open Sans"/>
          <w:color w:val="444444"/>
        </w:rPr>
      </w:pPr>
      <w:r w:rsidRPr="005E4D3D">
        <w:rPr>
          <w:rFonts w:ascii="Open Sans" w:hAnsi="Open Sans" w:cs="Open Sans"/>
          <w:color w:val="444444"/>
          <w:shd w:val="clear" w:color="auto" w:fill="E6E8EB"/>
        </w:rPr>
        <w:t xml:space="preserve">La secretaria de Estado de Energía y presidenta del Instituto para la Transición Justa del Ministerio para la Transición Ecológica y el Reto Demográfico (MITECO), Sara </w:t>
      </w:r>
      <w:proofErr w:type="spellStart"/>
      <w:r w:rsidRPr="005E4D3D">
        <w:rPr>
          <w:rFonts w:ascii="Open Sans" w:hAnsi="Open Sans" w:cs="Open Sans"/>
          <w:color w:val="444444"/>
          <w:shd w:val="clear" w:color="auto" w:fill="E6E8EB"/>
        </w:rPr>
        <w:t>Aagesen</w:t>
      </w:r>
      <w:proofErr w:type="spellEnd"/>
      <w:r w:rsidRPr="005E4D3D">
        <w:rPr>
          <w:rFonts w:ascii="Open Sans" w:hAnsi="Open Sans" w:cs="Open Sans"/>
          <w:color w:val="444444"/>
          <w:shd w:val="clear" w:color="auto" w:fill="E6E8EB"/>
        </w:rPr>
        <w:t xml:space="preserve"> y el consejero de Industria, Empleo y Promoción Económica del Principado de Asturias, Enrique Fernández han firmado hoy el convenio que formaliza la subvención para la restauración ambiental de zonas afectadas por la transición energética en el marco del Plan de Recuperación, Transformación y l importe total de la subvención contemplada en el acuerdo asciende a 73,7 millones de euros que se destinarán a la rehabilitación del espacio natural y la restauración de pasivos ambientales afectados por la actividad minera del carbón en el suroccidente asturiano, en concreto en las explotaciones de </w:t>
      </w:r>
      <w:proofErr w:type="spellStart"/>
      <w:r w:rsidRPr="005E4D3D">
        <w:rPr>
          <w:rFonts w:ascii="Open Sans" w:hAnsi="Open Sans" w:cs="Open Sans"/>
          <w:color w:val="444444"/>
          <w:shd w:val="clear" w:color="auto" w:fill="E6E8EB"/>
        </w:rPr>
        <w:t>Buseiro</w:t>
      </w:r>
      <w:proofErr w:type="spellEnd"/>
      <w:r w:rsidRPr="005E4D3D">
        <w:rPr>
          <w:rFonts w:ascii="Open Sans" w:hAnsi="Open Sans" w:cs="Open Sans"/>
          <w:color w:val="444444"/>
          <w:shd w:val="clear" w:color="auto" w:fill="E6E8EB"/>
        </w:rPr>
        <w:t xml:space="preserve"> (Tineo), </w:t>
      </w:r>
      <w:proofErr w:type="spellStart"/>
      <w:r w:rsidRPr="005E4D3D">
        <w:rPr>
          <w:rFonts w:ascii="Open Sans" w:hAnsi="Open Sans" w:cs="Open Sans"/>
          <w:color w:val="444444"/>
          <w:shd w:val="clear" w:color="auto" w:fill="E6E8EB"/>
        </w:rPr>
        <w:t>Cerredo</w:t>
      </w:r>
      <w:proofErr w:type="spellEnd"/>
      <w:r w:rsidRPr="005E4D3D">
        <w:rPr>
          <w:rFonts w:ascii="Open Sans" w:hAnsi="Open Sans" w:cs="Open Sans"/>
          <w:color w:val="444444"/>
          <w:shd w:val="clear" w:color="auto" w:fill="E6E8EB"/>
        </w:rPr>
        <w:t xml:space="preserve"> (</w:t>
      </w:r>
      <w:proofErr w:type="spellStart"/>
      <w:r w:rsidRPr="005E4D3D">
        <w:rPr>
          <w:rFonts w:ascii="Open Sans" w:hAnsi="Open Sans" w:cs="Open Sans"/>
          <w:color w:val="444444"/>
          <w:shd w:val="clear" w:color="auto" w:fill="E6E8EB"/>
        </w:rPr>
        <w:t>Degaña</w:t>
      </w:r>
      <w:proofErr w:type="spellEnd"/>
      <w:r w:rsidRPr="005E4D3D">
        <w:rPr>
          <w:rFonts w:ascii="Open Sans" w:hAnsi="Open Sans" w:cs="Open Sans"/>
          <w:color w:val="444444"/>
          <w:shd w:val="clear" w:color="auto" w:fill="E6E8EB"/>
        </w:rPr>
        <w:t xml:space="preserve">) y </w:t>
      </w:r>
      <w:proofErr w:type="spellStart"/>
      <w:r w:rsidRPr="005E4D3D">
        <w:rPr>
          <w:rFonts w:ascii="Open Sans" w:hAnsi="Open Sans" w:cs="Open Sans"/>
          <w:color w:val="444444"/>
          <w:shd w:val="clear" w:color="auto" w:fill="E6E8EB"/>
        </w:rPr>
        <w:t>Tormaleo</w:t>
      </w:r>
      <w:proofErr w:type="spellEnd"/>
      <w:r w:rsidRPr="005E4D3D">
        <w:rPr>
          <w:rFonts w:ascii="Open Sans" w:hAnsi="Open Sans" w:cs="Open Sans"/>
          <w:color w:val="444444"/>
          <w:shd w:val="clear" w:color="auto" w:fill="E6E8EB"/>
        </w:rPr>
        <w:t xml:space="preserve"> (Ibias). Tras el acto formal de la firma, que contó con la presencia de la vicepresidenta y ministra para la Transición Ecológica y el Reto Demográfico, Teresa Ribera, esta declaró que “la agilidad con la que se ha tramitado este convenio es fruto del compromiso de los Gobiernos de España y del Principado de Asturias que han trabajado </w:t>
      </w:r>
      <w:r w:rsidRPr="005E4D3D">
        <w:rPr>
          <w:rFonts w:ascii="Open Sans" w:hAnsi="Open Sans" w:cs="Open Sans"/>
          <w:color w:val="444444"/>
          <w:shd w:val="clear" w:color="auto" w:fill="E6E8EB"/>
        </w:rPr>
        <w:lastRenderedPageBreak/>
        <w:t>como uno solo para que las ayudas del Plan de Recuperación lleguen cuanto antes a los territorios, para que empiecen a construir un nuevo futuro”. Por su parte, el consejero de Industria, Empleo y Promoción Económica, Enrique Fernández ha destacado la dimensión y relevancia de estos proyectos al actuar sobre territorios “donde la actividad minera ha generado un severo impacto medioambiental”. Estas intervenciones, precisó el consejero, no solo recuperarán espacios degradados, sino que “permitirán el desarrollo de nuevas actividades generadoras de empleo y de riqueza, contribuyendo al mismo tiempo a una transición justa y a paliar los efectos sociales y económicos de la COVID-19 en unos municipios marcados por la pérdida de población y la falta de alternativas socioeconómicas a la minería”.</w:t>
      </w:r>
      <w:r w:rsidRPr="005E4D3D">
        <w:rPr>
          <w:rFonts w:ascii="Open Sans" w:hAnsi="Open Sans" w:cs="Open Sans"/>
          <w:color w:val="444444"/>
        </w:rPr>
        <w:br/>
      </w:r>
      <w:r w:rsidRPr="005E4D3D">
        <w:rPr>
          <w:rFonts w:ascii="Open Sans" w:hAnsi="Open Sans" w:cs="Open Sans"/>
          <w:color w:val="444444"/>
        </w:rPr>
        <w:br/>
      </w:r>
      <w:r w:rsidRPr="005E4D3D">
        <w:rPr>
          <w:rFonts w:ascii="Open Sans" w:hAnsi="Open Sans" w:cs="Open Sans"/>
          <w:color w:val="444444"/>
          <w:shd w:val="clear" w:color="auto" w:fill="E6E8EB"/>
        </w:rPr>
        <w:t xml:space="preserve"> </w:t>
      </w:r>
      <w:r>
        <w:rPr>
          <w:rFonts w:ascii="Bahnschrift Light" w:hAnsi="Bahnschrift Light" w:cs="Open Sans"/>
          <w:b/>
          <w:bCs/>
          <w:color w:val="F7CAAC" w:themeColor="accent2" w:themeTint="66"/>
          <w:sz w:val="40"/>
          <w:szCs w:val="40"/>
          <w:u w:val="single"/>
          <w:shd w:val="clear" w:color="auto" w:fill="E6E8EB"/>
          <w14:textOutline w14:w="11112" w14:cap="flat" w14:cmpd="sng" w14:algn="ctr">
            <w14:solidFill>
              <w14:schemeClr w14:val="accent2"/>
            </w14:solidFill>
            <w14:prstDash w14:val="solid"/>
            <w14:round/>
          </w14:textOutline>
        </w:rPr>
        <w:t>OBJETIVOS:</w:t>
      </w:r>
    </w:p>
    <w:p w14:paraId="4CB1684A" w14:textId="77777777" w:rsidR="005E4D3D" w:rsidRDefault="005E4D3D" w:rsidP="00C4417A">
      <w:pPr>
        <w:pStyle w:val="NormalWeb"/>
        <w:numPr>
          <w:ilvl w:val="0"/>
          <w:numId w:val="1"/>
        </w:numPr>
        <w:shd w:val="clear" w:color="auto" w:fill="FFFFFF"/>
        <w:spacing w:before="0" w:beforeAutospacing="0" w:after="300" w:afterAutospacing="0" w:line="360" w:lineRule="atLeast"/>
        <w:rPr>
          <w:rFonts w:ascii="Open Sans" w:hAnsi="Open Sans" w:cs="Open Sans"/>
          <w:color w:val="444444"/>
        </w:rPr>
      </w:pPr>
      <w:r>
        <w:rPr>
          <w:rFonts w:ascii="Open Sans" w:hAnsi="Open Sans" w:cs="Open Sans"/>
          <w:color w:val="444444"/>
          <w:shd w:val="clear" w:color="auto" w:fill="E6E8EB"/>
        </w:rPr>
        <w:t>El objetivo de estas ayudas directas trasciende la recuperación del medio natural, preparando el suelo para nuevos usos que impulsen nuevas actividades económicas en estas zonas, afectadas por la transición energética. En los proyectos para la restauración de estas minas se persigue la integración de los objetivos ambientales, económicos y sociales y la generación de empleo directo, al que tendrán acceso prioritario los trabajadores excedentes de la minería del carbón, incluidos aquellos trabajadores de las empresas auxiliares inscritos en la bolsa de trabajo creada por el Instituto para la Transición Justa (ITJ) para esta finalidad.</w:t>
      </w:r>
    </w:p>
    <w:p w14:paraId="30D1ACB4" w14:textId="36CD3A1F" w:rsidR="005E4D3D" w:rsidRPr="00F75FAC" w:rsidRDefault="005E4D3D" w:rsidP="00F75FAC">
      <w:pPr>
        <w:pStyle w:val="NormalWeb"/>
        <w:shd w:val="clear" w:color="auto" w:fill="FFFFFF"/>
        <w:spacing w:before="0" w:beforeAutospacing="0" w:after="300" w:afterAutospacing="0" w:line="360" w:lineRule="atLeast"/>
        <w:jc w:val="center"/>
        <w:rPr>
          <w:rFonts w:ascii="NSimSun" w:eastAsia="NSimSun" w:hAnsi="NSimSun" w:cs="Open Sans"/>
          <w:b/>
          <w:bCs/>
          <w:caps/>
          <w:color w:val="A8D08D" w:themeColor="accent6" w:themeTint="99"/>
          <w:sz w:val="52"/>
          <w:szCs w:val="52"/>
          <w:u w:val="double"/>
        </w:rPr>
      </w:pPr>
      <w:r w:rsidRPr="005E4D3D">
        <w:rPr>
          <w:rFonts w:ascii="NSimSun" w:eastAsia="NSimSun" w:hAnsi="NSimSun" w:cs="Open Sans"/>
          <w:b/>
          <w:bCs/>
          <w:caps/>
          <w:color w:val="A8D08D" w:themeColor="accent6" w:themeTint="99"/>
          <w:sz w:val="52"/>
          <w:szCs w:val="52"/>
          <w:u w:val="double"/>
        </w:rPr>
        <w:t>The ecology</w:t>
      </w:r>
    </w:p>
    <w:p w14:paraId="6329ADCF" w14:textId="7B8E4B54" w:rsidR="00F75FAC" w:rsidRDefault="00F75FAC" w:rsidP="00F75FAC">
      <w:pPr>
        <w:pStyle w:val="NormalWeb"/>
        <w:shd w:val="clear" w:color="auto" w:fill="FFFFFF"/>
        <w:spacing w:before="0" w:beforeAutospacing="0" w:after="300" w:afterAutospacing="0" w:line="360" w:lineRule="atLeast"/>
        <w:rPr>
          <w:rFonts w:ascii="Open Sans" w:hAnsi="Open Sans" w:cs="Open Sans"/>
          <w:color w:val="444444"/>
          <w:lang w:val="en-US"/>
        </w:rPr>
      </w:pPr>
      <w:r w:rsidRPr="00F75FAC">
        <w:rPr>
          <w:rFonts w:ascii="Open Sans" w:hAnsi="Open Sans" w:cs="Open Sans"/>
          <w:color w:val="444444"/>
          <w:lang w:val="en-US"/>
        </w:rPr>
        <w:t>The Government of Asturias and MITECO have signed an agreement that will speed up the restoration of several mining areas, thanks to a subsidy amounting to the sum of 73.7 million euros and that will be destined to the environmental rehabilitation of a series of Asturian mining exploitations.</w:t>
      </w:r>
    </w:p>
    <w:p w14:paraId="1CECC982" w14:textId="72D2158D" w:rsidR="00F75FAC" w:rsidRDefault="00F75FAC" w:rsidP="00F75FAC">
      <w:pPr>
        <w:pStyle w:val="NormalWeb"/>
        <w:numPr>
          <w:ilvl w:val="0"/>
          <w:numId w:val="2"/>
        </w:numPr>
        <w:shd w:val="clear" w:color="auto" w:fill="FFFFFF"/>
        <w:spacing w:before="0" w:beforeAutospacing="0" w:after="300" w:afterAutospacing="0" w:line="360" w:lineRule="atLeast"/>
        <w:rPr>
          <w:rFonts w:ascii="Open Sans" w:hAnsi="Open Sans" w:cs="Open Sans"/>
          <w:color w:val="444444"/>
          <w:lang w:val="en-US"/>
        </w:rPr>
      </w:pPr>
      <w:r w:rsidRPr="00F75FAC">
        <w:rPr>
          <w:rFonts w:ascii="Open Sans" w:hAnsi="Open Sans" w:cs="Open Sans"/>
          <w:color w:val="444444"/>
          <w:lang w:val="en-US"/>
        </w:rPr>
        <w:t xml:space="preserve">The total amount of the subsidy amounts to 73.7 million euros that will be allocated to the environmental rehabilitation of the farms of </w:t>
      </w:r>
      <w:proofErr w:type="spellStart"/>
      <w:r w:rsidRPr="00F75FAC">
        <w:rPr>
          <w:rFonts w:ascii="Open Sans" w:hAnsi="Open Sans" w:cs="Open Sans"/>
          <w:color w:val="444444"/>
          <w:lang w:val="en-US"/>
        </w:rPr>
        <w:t>Buseiro</w:t>
      </w:r>
      <w:proofErr w:type="spellEnd"/>
      <w:r w:rsidRPr="00F75FAC">
        <w:rPr>
          <w:rFonts w:ascii="Open Sans" w:hAnsi="Open Sans" w:cs="Open Sans"/>
          <w:color w:val="444444"/>
          <w:lang w:val="en-US"/>
        </w:rPr>
        <w:t xml:space="preserve"> (</w:t>
      </w:r>
      <w:proofErr w:type="spellStart"/>
      <w:r w:rsidRPr="00F75FAC">
        <w:rPr>
          <w:rFonts w:ascii="Open Sans" w:hAnsi="Open Sans" w:cs="Open Sans"/>
          <w:color w:val="444444"/>
          <w:lang w:val="en-US"/>
        </w:rPr>
        <w:t>Tineo</w:t>
      </w:r>
      <w:proofErr w:type="spellEnd"/>
      <w:r w:rsidRPr="00F75FAC">
        <w:rPr>
          <w:rFonts w:ascii="Open Sans" w:hAnsi="Open Sans" w:cs="Open Sans"/>
          <w:color w:val="444444"/>
          <w:lang w:val="en-US"/>
        </w:rPr>
        <w:t>), Cerredo (</w:t>
      </w:r>
      <w:proofErr w:type="spellStart"/>
      <w:r w:rsidRPr="00F75FAC">
        <w:rPr>
          <w:rFonts w:ascii="Open Sans" w:hAnsi="Open Sans" w:cs="Open Sans"/>
          <w:color w:val="444444"/>
          <w:lang w:val="en-US"/>
        </w:rPr>
        <w:t>Degaña</w:t>
      </w:r>
      <w:proofErr w:type="spellEnd"/>
      <w:r w:rsidRPr="00F75FAC">
        <w:rPr>
          <w:rFonts w:ascii="Open Sans" w:hAnsi="Open Sans" w:cs="Open Sans"/>
          <w:color w:val="444444"/>
          <w:lang w:val="en-US"/>
        </w:rPr>
        <w:t xml:space="preserve">) and </w:t>
      </w:r>
      <w:proofErr w:type="spellStart"/>
      <w:r w:rsidRPr="00F75FAC">
        <w:rPr>
          <w:rFonts w:ascii="Open Sans" w:hAnsi="Open Sans" w:cs="Open Sans"/>
          <w:color w:val="444444"/>
          <w:lang w:val="en-US"/>
        </w:rPr>
        <w:t>Tormaleo</w:t>
      </w:r>
      <w:proofErr w:type="spellEnd"/>
      <w:r w:rsidRPr="00F75FAC">
        <w:rPr>
          <w:rFonts w:ascii="Open Sans" w:hAnsi="Open Sans" w:cs="Open Sans"/>
          <w:color w:val="444444"/>
          <w:lang w:val="en-US"/>
        </w:rPr>
        <w:t xml:space="preserve"> (</w:t>
      </w:r>
      <w:proofErr w:type="spellStart"/>
      <w:r w:rsidRPr="00F75FAC">
        <w:rPr>
          <w:rFonts w:ascii="Open Sans" w:hAnsi="Open Sans" w:cs="Open Sans"/>
          <w:color w:val="444444"/>
          <w:lang w:val="en-US"/>
        </w:rPr>
        <w:t>Ibias</w:t>
      </w:r>
      <w:proofErr w:type="spellEnd"/>
      <w:r w:rsidRPr="00F75FAC">
        <w:rPr>
          <w:rFonts w:ascii="Open Sans" w:hAnsi="Open Sans" w:cs="Open Sans"/>
          <w:color w:val="444444"/>
          <w:lang w:val="en-US"/>
        </w:rPr>
        <w:t>) in the southwest of Asturias.</w:t>
      </w:r>
    </w:p>
    <w:p w14:paraId="0091C760" w14:textId="3B74A7F4" w:rsidR="00F75FAC" w:rsidRDefault="00F75FAC" w:rsidP="00F75FAC">
      <w:pPr>
        <w:pStyle w:val="NormalWeb"/>
        <w:numPr>
          <w:ilvl w:val="0"/>
          <w:numId w:val="2"/>
        </w:numPr>
        <w:shd w:val="clear" w:color="auto" w:fill="FFFFFF"/>
        <w:spacing w:before="0" w:beforeAutospacing="0" w:after="300" w:afterAutospacing="0" w:line="360" w:lineRule="atLeast"/>
        <w:rPr>
          <w:rFonts w:ascii="Open Sans" w:hAnsi="Open Sans" w:cs="Open Sans"/>
          <w:color w:val="444444"/>
          <w:lang w:val="en-US"/>
        </w:rPr>
      </w:pPr>
      <w:r w:rsidRPr="00F75FAC">
        <w:rPr>
          <w:rFonts w:ascii="Open Sans" w:hAnsi="Open Sans" w:cs="Open Sans"/>
          <w:color w:val="444444"/>
          <w:lang w:val="en-US"/>
        </w:rPr>
        <w:lastRenderedPageBreak/>
        <w:t>The objective of this direct aid transcends the recovery of the natural environment, preparing the soil for new uses that promote new economic activities.</w:t>
      </w:r>
    </w:p>
    <w:p w14:paraId="055C2285" w14:textId="124F822F" w:rsidR="00F75FAC" w:rsidRDefault="00F75FAC" w:rsidP="00F75FAC">
      <w:pPr>
        <w:pStyle w:val="NormalWeb"/>
        <w:numPr>
          <w:ilvl w:val="0"/>
          <w:numId w:val="2"/>
        </w:numPr>
        <w:shd w:val="clear" w:color="auto" w:fill="FFFFFF"/>
        <w:spacing w:before="0" w:beforeAutospacing="0" w:after="300" w:afterAutospacing="0" w:line="360" w:lineRule="atLeast"/>
        <w:rPr>
          <w:rFonts w:ascii="Open Sans" w:hAnsi="Open Sans" w:cs="Open Sans"/>
          <w:color w:val="444444"/>
          <w:lang w:val="en-US"/>
        </w:rPr>
      </w:pPr>
      <w:r w:rsidRPr="00F75FAC">
        <w:rPr>
          <w:rFonts w:ascii="Open Sans" w:hAnsi="Open Sans" w:cs="Open Sans"/>
          <w:color w:val="444444"/>
          <w:lang w:val="en-US"/>
        </w:rPr>
        <w:t xml:space="preserve"> These actions, which with the contribution of the Principality will mobilize a total investment of 82.4 million, will be developed over the next three years, recover 1,167 hectares and generate 150 jobs.</w:t>
      </w:r>
    </w:p>
    <w:p w14:paraId="26C94D21" w14:textId="77777777" w:rsidR="00165320" w:rsidRDefault="00B4793D" w:rsidP="00F75FAC">
      <w:pPr>
        <w:pStyle w:val="NormalWeb"/>
        <w:numPr>
          <w:ilvl w:val="0"/>
          <w:numId w:val="2"/>
        </w:numPr>
        <w:shd w:val="clear" w:color="auto" w:fill="FFFFFF"/>
        <w:spacing w:before="0" w:beforeAutospacing="0" w:after="300" w:afterAutospacing="0" w:line="360" w:lineRule="atLeast"/>
        <w:rPr>
          <w:rFonts w:ascii="Open Sans" w:hAnsi="Open Sans" w:cs="Open Sans"/>
          <w:color w:val="444444"/>
          <w:lang w:val="en-US"/>
        </w:rPr>
      </w:pPr>
      <w:r w:rsidRPr="00B4793D">
        <w:rPr>
          <w:rFonts w:ascii="Open Sans" w:hAnsi="Open Sans" w:cs="Open Sans"/>
          <w:color w:val="444444"/>
          <w:lang w:val="en-US"/>
        </w:rPr>
        <w:t xml:space="preserve">  The Secretary of State for Energy and President of the Institute for the Just Transition of the Ministry for the Ecological Transition and the Demographic Challenge (MITECO), Sara </w:t>
      </w:r>
      <w:proofErr w:type="spellStart"/>
      <w:r w:rsidRPr="00B4793D">
        <w:rPr>
          <w:rFonts w:ascii="Open Sans" w:hAnsi="Open Sans" w:cs="Open Sans"/>
          <w:color w:val="444444"/>
          <w:lang w:val="en-US"/>
        </w:rPr>
        <w:t>Aagesen</w:t>
      </w:r>
      <w:proofErr w:type="spellEnd"/>
      <w:r w:rsidRPr="00B4793D">
        <w:rPr>
          <w:rFonts w:ascii="Open Sans" w:hAnsi="Open Sans" w:cs="Open Sans"/>
          <w:color w:val="444444"/>
          <w:lang w:val="en-US"/>
        </w:rPr>
        <w:t xml:space="preserve"> and the Minister of Industry, Employment and Economic Promotion of the Principality of Asturias, Enrique Fernández have signed today the agreement that formalizes the subsidy for the environmental restoration of areas affected by the energy transition within the framework of the Recovery Plan reach the territories as soon as possible, so that they begin to build a new future." For his part, the Minister of Industry, Employment and Economic Promotion, Enrique Fernández has highlighted the dimension and relevance of these projects by acting on territories "where mining activity has generated a severe environmental impact". These interventions, said the counselor</w:t>
      </w:r>
      <w:r w:rsidR="00165320">
        <w:rPr>
          <w:rFonts w:ascii="Open Sans" w:hAnsi="Open Sans" w:cs="Open Sans"/>
          <w:color w:val="444444"/>
          <w:lang w:val="en-US"/>
        </w:rPr>
        <w:t>.</w:t>
      </w:r>
    </w:p>
    <w:p w14:paraId="7202BF1D" w14:textId="17656D60" w:rsidR="00F75FAC" w:rsidRDefault="00165320" w:rsidP="00165320">
      <w:pPr>
        <w:pStyle w:val="NormalWeb"/>
        <w:shd w:val="clear" w:color="auto" w:fill="FFFFFF"/>
        <w:spacing w:before="0" w:beforeAutospacing="0" w:after="300" w:afterAutospacing="0" w:line="360" w:lineRule="atLeast"/>
        <w:jc w:val="center"/>
        <w:rPr>
          <w:rFonts w:ascii="Arial Black" w:hAnsi="Arial Black" w:cs="Open Sans"/>
          <w:b/>
          <w:color w:val="F7CAAC" w:themeColor="accent2" w:themeTint="66"/>
          <w:sz w:val="40"/>
          <w:szCs w:val="40"/>
          <w:u w:val="double"/>
          <w:lang w:val="en-US"/>
          <w14:textOutline w14:w="11112" w14:cap="flat" w14:cmpd="sng" w14:algn="ctr">
            <w14:solidFill>
              <w14:schemeClr w14:val="accent2"/>
            </w14:solidFill>
            <w14:prstDash w14:val="solid"/>
            <w14:round/>
          </w14:textOutline>
        </w:rPr>
      </w:pPr>
      <w:r>
        <w:rPr>
          <w:rFonts w:ascii="Arial Black" w:hAnsi="Arial Black" w:cs="Open Sans"/>
          <w:b/>
          <w:color w:val="F7CAAC" w:themeColor="accent2" w:themeTint="66"/>
          <w:sz w:val="40"/>
          <w:szCs w:val="40"/>
          <w:u w:val="double"/>
          <w:lang w:val="en-US"/>
          <w14:textOutline w14:w="11112" w14:cap="flat" w14:cmpd="sng" w14:algn="ctr">
            <w14:solidFill>
              <w14:schemeClr w14:val="accent2"/>
            </w14:solidFill>
            <w14:prstDash w14:val="solid"/>
            <w14:round/>
          </w14:textOutline>
        </w:rPr>
        <w:t>OBJETCIVES:</w:t>
      </w:r>
    </w:p>
    <w:p w14:paraId="2921CB87" w14:textId="47320BB4" w:rsidR="00165320" w:rsidRPr="00165320" w:rsidRDefault="00165320" w:rsidP="00165320">
      <w:pPr>
        <w:pStyle w:val="NormalWeb"/>
        <w:shd w:val="clear" w:color="auto" w:fill="FFFFFF"/>
        <w:spacing w:before="0" w:beforeAutospacing="0" w:after="300" w:afterAutospacing="0" w:line="360" w:lineRule="atLeast"/>
        <w:rPr>
          <w:rFonts w:ascii="NSimSun" w:eastAsia="NSimSun" w:hAnsi="NSimSun" w:cs="Open Sans"/>
          <w:bCs/>
          <w:color w:val="444444"/>
          <w:lang w:val="en-US"/>
        </w:rPr>
      </w:pPr>
      <w:r w:rsidRPr="00165320">
        <w:rPr>
          <w:rFonts w:ascii="NSimSun" w:eastAsia="NSimSun" w:hAnsi="NSimSun" w:cs="Open Sans"/>
          <w:bCs/>
          <w:color w:val="444444"/>
          <w:lang w:val="en-US"/>
        </w:rPr>
        <w:t>The objective of this direct aid transcends the recovery of the natural environment, preparing the land for new uses that promote new economic activities in these areas, affected by the energy transition. Projects for the restoration of these mines seek to integrate environmental, economic and social objectives and generate direct employment</w:t>
      </w:r>
      <w:r>
        <w:rPr>
          <w:rFonts w:ascii="NSimSun" w:eastAsia="NSimSun" w:hAnsi="NSimSun" w:cs="Open Sans"/>
          <w:bCs/>
          <w:color w:val="444444"/>
          <w:lang w:val="en-US"/>
        </w:rPr>
        <w:t>.</w:t>
      </w:r>
    </w:p>
    <w:p w14:paraId="621D32AA" w14:textId="50FDBDE2" w:rsidR="004C6E47" w:rsidRPr="00F75FAC" w:rsidRDefault="004C6E47" w:rsidP="005E4D3D">
      <w:pPr>
        <w:pStyle w:val="NormalWeb"/>
        <w:shd w:val="clear" w:color="auto" w:fill="FFFFFF"/>
        <w:spacing w:before="0" w:beforeAutospacing="0" w:after="300" w:afterAutospacing="0" w:line="360" w:lineRule="atLeast"/>
        <w:rPr>
          <w:rFonts w:ascii="Open Sans" w:hAnsi="Open Sans" w:cs="Open Sans"/>
          <w:color w:val="444444"/>
          <w:lang w:val="en-US"/>
        </w:rPr>
      </w:pPr>
    </w:p>
    <w:p w14:paraId="5BCE7278" w14:textId="77777777" w:rsidR="004C6E47" w:rsidRPr="00F75FAC" w:rsidRDefault="004C6E47" w:rsidP="005E4D3D">
      <w:pPr>
        <w:pStyle w:val="NormalWeb"/>
        <w:shd w:val="clear" w:color="auto" w:fill="FFFFFF"/>
        <w:spacing w:before="0" w:beforeAutospacing="0" w:after="300" w:afterAutospacing="0" w:line="360" w:lineRule="atLeast"/>
        <w:rPr>
          <w:rFonts w:ascii="Open Sans" w:hAnsi="Open Sans" w:cs="Open Sans"/>
          <w:color w:val="444444"/>
          <w:lang w:val="en-US"/>
        </w:rPr>
      </w:pPr>
    </w:p>
    <w:p w14:paraId="122474CC" w14:textId="77777777" w:rsidR="004C6E47" w:rsidRPr="00F75FAC" w:rsidRDefault="004C6E47" w:rsidP="004C6E47">
      <w:pPr>
        <w:jc w:val="center"/>
        <w:rPr>
          <w:rFonts w:ascii="Arial" w:hAnsi="Arial" w:cs="Arial"/>
          <w:bCs/>
          <w:color w:val="000000" w:themeColor="text1"/>
          <w:sz w:val="40"/>
          <w:szCs w:val="40"/>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4C6E47" w:rsidRPr="00F75F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charset w:val="00"/>
    <w:family w:val="swiss"/>
    <w:pitch w:val="variable"/>
    <w:sig w:usb0="E00002EF" w:usb1="4000205B" w:usb2="00000028" w:usb3="00000000" w:csb0="0000019F" w:csb1="00000000"/>
  </w:font>
  <w:font w:name="Bahnschrift Light">
    <w:panose1 w:val="020B0502040204020203"/>
    <w:charset w:val="00"/>
    <w:family w:val="swiss"/>
    <w:pitch w:val="variable"/>
    <w:sig w:usb0="A00002C7" w:usb1="00000002" w:usb2="00000000" w:usb3="00000000" w:csb0="000001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1.25pt;height:11.25pt" o:bullet="t">
        <v:imagedata r:id="rId1" o:title="msoCD78"/>
      </v:shape>
    </w:pict>
  </w:numPicBullet>
  <w:abstractNum w:abstractNumId="0" w15:restartNumberingAfterBreak="0">
    <w:nsid w:val="1E1411E6"/>
    <w:multiLevelType w:val="hybridMultilevel"/>
    <w:tmpl w:val="36E42506"/>
    <w:lvl w:ilvl="0" w:tplc="0C0A0007">
      <w:start w:val="1"/>
      <w:numFmt w:val="bullet"/>
      <w:lvlText w:val=""/>
      <w:lvlPicBulletId w:val="0"/>
      <w:lvlJc w:val="left"/>
      <w:pPr>
        <w:ind w:left="64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FA3B03"/>
    <w:multiLevelType w:val="hybridMultilevel"/>
    <w:tmpl w:val="35AA448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E47"/>
    <w:rsid w:val="00070528"/>
    <w:rsid w:val="00165320"/>
    <w:rsid w:val="004C6E47"/>
    <w:rsid w:val="005E4D3D"/>
    <w:rsid w:val="00B4793D"/>
    <w:rsid w:val="00F75F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F89D"/>
  <w15:chartTrackingRefBased/>
  <w15:docId w15:val="{22B71EAF-2F6C-4331-B12A-18BB1B20C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6E4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C6E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397755">
      <w:bodyDiv w:val="1"/>
      <w:marLeft w:val="0"/>
      <w:marRight w:val="0"/>
      <w:marTop w:val="0"/>
      <w:marBottom w:val="0"/>
      <w:divBdr>
        <w:top w:val="none" w:sz="0" w:space="0" w:color="auto"/>
        <w:left w:val="none" w:sz="0" w:space="0" w:color="auto"/>
        <w:bottom w:val="none" w:sz="0" w:space="0" w:color="auto"/>
        <w:right w:val="none" w:sz="0" w:space="0" w:color="auto"/>
      </w:divBdr>
      <w:divsChild>
        <w:div w:id="8234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867</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equipo</cp:lastModifiedBy>
  <cp:revision>1</cp:revision>
  <dcterms:created xsi:type="dcterms:W3CDTF">2021-09-30T14:57:00Z</dcterms:created>
  <dcterms:modified xsi:type="dcterms:W3CDTF">2021-09-30T15:41:00Z</dcterms:modified>
</cp:coreProperties>
</file>