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8F" w:rsidRPr="004E7A0A" w:rsidRDefault="0050658F">
      <w:pPr>
        <w:rPr>
          <w:rStyle w:val="Hervorhebung"/>
          <w:b/>
          <w:sz w:val="24"/>
          <w:szCs w:val="24"/>
          <w:u w:val="single"/>
        </w:rPr>
      </w:pPr>
      <w:r w:rsidRPr="004E7A0A">
        <w:rPr>
          <w:rStyle w:val="Hervorhebung"/>
          <w:b/>
          <w:sz w:val="24"/>
          <w:szCs w:val="24"/>
          <w:u w:val="single"/>
        </w:rPr>
        <w:t>Was ist der europäische Binnenmarkt?</w:t>
      </w:r>
    </w:p>
    <w:p w:rsidR="00577BE4" w:rsidRPr="004E7A0A" w:rsidRDefault="0050658F">
      <w:pPr>
        <w:rPr>
          <w:rStyle w:val="Hervorhebung"/>
          <w:sz w:val="24"/>
          <w:szCs w:val="24"/>
        </w:rPr>
      </w:pPr>
      <w:r w:rsidRPr="004E7A0A">
        <w:rPr>
          <w:rStyle w:val="Hervorhebung"/>
          <w:sz w:val="24"/>
          <w:szCs w:val="24"/>
        </w:rPr>
        <w:t>Der europäisch</w:t>
      </w:r>
      <w:r w:rsidR="00577BE4" w:rsidRPr="004E7A0A">
        <w:rPr>
          <w:rStyle w:val="Hervorhebung"/>
          <w:sz w:val="24"/>
          <w:szCs w:val="24"/>
        </w:rPr>
        <w:t>e Binnenmarkt ist der gemeinsame</w:t>
      </w:r>
      <w:r w:rsidRPr="004E7A0A">
        <w:rPr>
          <w:rStyle w:val="Hervorhebung"/>
          <w:sz w:val="24"/>
          <w:szCs w:val="24"/>
        </w:rPr>
        <w:t xml:space="preserve"> Binnenmarkt d</w:t>
      </w:r>
      <w:r w:rsidR="00577BE4" w:rsidRPr="004E7A0A">
        <w:rPr>
          <w:rStyle w:val="Hervorhebung"/>
          <w:sz w:val="24"/>
          <w:szCs w:val="24"/>
        </w:rPr>
        <w:t>er 28 europäischen Mitgliedsstaaten</w:t>
      </w:r>
      <w:r w:rsidRPr="004E7A0A">
        <w:rPr>
          <w:rStyle w:val="Hervorhebung"/>
          <w:sz w:val="24"/>
          <w:szCs w:val="24"/>
        </w:rPr>
        <w:t xml:space="preserve"> und geh</w:t>
      </w:r>
      <w:r w:rsidR="00577BE4" w:rsidRPr="004E7A0A">
        <w:rPr>
          <w:rStyle w:val="Hervorhebung"/>
          <w:sz w:val="24"/>
          <w:szCs w:val="24"/>
        </w:rPr>
        <w:t xml:space="preserve">ört zu </w:t>
      </w:r>
      <w:r w:rsidR="00322681" w:rsidRPr="004E7A0A">
        <w:rPr>
          <w:rStyle w:val="Hervorhebung"/>
          <w:sz w:val="24"/>
          <w:szCs w:val="24"/>
        </w:rPr>
        <w:t>dem größten gemeinsamen Markt</w:t>
      </w:r>
      <w:r w:rsidRPr="004E7A0A">
        <w:rPr>
          <w:rStyle w:val="Hervorhebung"/>
          <w:sz w:val="24"/>
          <w:szCs w:val="24"/>
        </w:rPr>
        <w:t xml:space="preserve"> der </w:t>
      </w:r>
      <w:r w:rsidR="00577BE4" w:rsidRPr="004E7A0A">
        <w:rPr>
          <w:rStyle w:val="Hervorhebung"/>
          <w:sz w:val="24"/>
          <w:szCs w:val="24"/>
        </w:rPr>
        <w:t>Welt</w:t>
      </w:r>
      <w:r w:rsidRPr="004E7A0A">
        <w:rPr>
          <w:rStyle w:val="Hervorhebung"/>
          <w:sz w:val="24"/>
          <w:szCs w:val="24"/>
        </w:rPr>
        <w:t xml:space="preserve">. Er existiert seit dem 1 </w:t>
      </w:r>
      <w:r w:rsidR="00577BE4" w:rsidRPr="004E7A0A">
        <w:rPr>
          <w:rStyle w:val="Hervorhebung"/>
          <w:sz w:val="24"/>
          <w:szCs w:val="24"/>
        </w:rPr>
        <w:t>Januar 1993.</w:t>
      </w:r>
    </w:p>
    <w:p w:rsidR="00577BE4" w:rsidRPr="004E7A0A" w:rsidRDefault="00577BE4" w:rsidP="00577BE4">
      <w:pPr>
        <w:rPr>
          <w:rStyle w:val="Hervorhebung"/>
          <w:b/>
          <w:sz w:val="24"/>
          <w:szCs w:val="24"/>
          <w:u w:val="single"/>
        </w:rPr>
      </w:pPr>
      <w:r w:rsidRPr="004E7A0A">
        <w:rPr>
          <w:rStyle w:val="Hervorhebung"/>
          <w:b/>
          <w:sz w:val="24"/>
          <w:szCs w:val="24"/>
          <w:u w:val="single"/>
        </w:rPr>
        <w:t>Die Vier Grundfreiheiten</w:t>
      </w:r>
    </w:p>
    <w:p w:rsidR="00577BE4" w:rsidRPr="004E7A0A" w:rsidRDefault="00577BE4" w:rsidP="00577BE4">
      <w:pPr>
        <w:rPr>
          <w:rStyle w:val="Hervorhebung"/>
          <w:sz w:val="24"/>
          <w:szCs w:val="24"/>
        </w:rPr>
      </w:pPr>
      <w:r w:rsidRPr="004E7A0A">
        <w:rPr>
          <w:rStyle w:val="Hervorhebung"/>
          <w:sz w:val="24"/>
          <w:szCs w:val="24"/>
        </w:rPr>
        <w:t xml:space="preserve"> Die vier Grundfreiheiten bilden die Grundlage des Binnenmarktes der </w:t>
      </w:r>
      <w:hyperlink r:id="rId5" w:tooltip="Europäische Union" w:history="1">
        <w:r w:rsidRPr="004E7A0A">
          <w:rPr>
            <w:rStyle w:val="Hervorhebung"/>
            <w:sz w:val="24"/>
            <w:szCs w:val="24"/>
          </w:rPr>
          <w:t>Europäischen Union</w:t>
        </w:r>
      </w:hyperlink>
      <w:r w:rsidRPr="004E7A0A">
        <w:rPr>
          <w:rStyle w:val="Hervorhebung"/>
          <w:sz w:val="24"/>
          <w:szCs w:val="24"/>
        </w:rPr>
        <w:t>. Ihre rechtliche Grundlage findet sich im </w:t>
      </w:r>
      <w:hyperlink r:id="rId6" w:tooltip="Vertrag über die Arbeitsweise der Europäischen Union" w:history="1">
        <w:r w:rsidRPr="004E7A0A">
          <w:rPr>
            <w:rStyle w:val="Hervorhebung"/>
            <w:sz w:val="24"/>
            <w:szCs w:val="24"/>
          </w:rPr>
          <w:t>Vertrag über die Arbeitsweise der Europäischen Union</w:t>
        </w:r>
      </w:hyperlink>
      <w:r w:rsidRPr="004E7A0A">
        <w:rPr>
          <w:rStyle w:val="Hervorhebung"/>
          <w:sz w:val="24"/>
          <w:szCs w:val="24"/>
        </w:rPr>
        <w:t>.</w:t>
      </w:r>
    </w:p>
    <w:p w:rsidR="00577BE4" w:rsidRPr="004E7A0A" w:rsidRDefault="00322681" w:rsidP="00577BE4">
      <w:pPr>
        <w:rPr>
          <w:rStyle w:val="Hervorhebung"/>
          <w:b/>
          <w:sz w:val="24"/>
          <w:szCs w:val="24"/>
          <w:u w:val="single"/>
        </w:rPr>
      </w:pPr>
      <w:r w:rsidRPr="004E7A0A">
        <w:rPr>
          <w:rStyle w:val="Hervorhebung"/>
          <w:b/>
          <w:sz w:val="24"/>
          <w:szCs w:val="24"/>
          <w:u w:val="single"/>
        </w:rPr>
        <w:t>Freier Warenverkehr</w:t>
      </w:r>
      <w:r w:rsidR="00577BE4" w:rsidRPr="004E7A0A">
        <w:rPr>
          <w:rStyle w:val="Hervorhebung"/>
          <w:b/>
          <w:sz w:val="24"/>
          <w:szCs w:val="24"/>
          <w:u w:val="single"/>
        </w:rPr>
        <w:t xml:space="preserve"> </w:t>
      </w:r>
    </w:p>
    <w:p w:rsidR="00577BE4" w:rsidRPr="004E7A0A" w:rsidRDefault="00577BE4" w:rsidP="00577BE4">
      <w:pPr>
        <w:rPr>
          <w:rStyle w:val="Hervorhebung"/>
          <w:sz w:val="24"/>
          <w:szCs w:val="24"/>
        </w:rPr>
      </w:pPr>
      <w:r w:rsidRPr="004E7A0A">
        <w:rPr>
          <w:rStyle w:val="Hervorhebung"/>
          <w:sz w:val="24"/>
          <w:szCs w:val="24"/>
        </w:rPr>
        <w:t>Der Handel zwischen den Mitgliedsstaaten findet unbeschränkt statt. Die relevanten Bestimmungen finden sich in </w:t>
      </w:r>
      <w:hyperlink r:id="rId7" w:history="1">
        <w:r w:rsidRPr="004E7A0A">
          <w:rPr>
            <w:rStyle w:val="Hervorhebung"/>
            <w:sz w:val="24"/>
            <w:szCs w:val="24"/>
          </w:rPr>
          <w:t>Art. 28</w:t>
        </w:r>
      </w:hyperlink>
      <w:r w:rsidRPr="004E7A0A">
        <w:rPr>
          <w:rStyle w:val="Hervorhebung"/>
          <w:sz w:val="24"/>
          <w:szCs w:val="24"/>
        </w:rPr>
        <w:t> AEUV (Zollunion), </w:t>
      </w:r>
      <w:hyperlink r:id="rId8" w:history="1">
        <w:r w:rsidRPr="004E7A0A">
          <w:rPr>
            <w:rStyle w:val="Hervorhebung"/>
            <w:sz w:val="24"/>
            <w:szCs w:val="24"/>
          </w:rPr>
          <w:t>Art. 30</w:t>
        </w:r>
      </w:hyperlink>
      <w:r w:rsidRPr="004E7A0A">
        <w:rPr>
          <w:rStyle w:val="Hervorhebung"/>
          <w:sz w:val="24"/>
          <w:szCs w:val="24"/>
        </w:rPr>
        <w:t> AEUV (Verbot von Ein- und Ausfuhrzöllen, sowie Abgaben gleicher Wirkung) sowie in den </w:t>
      </w:r>
      <w:hyperlink r:id="rId9" w:history="1">
        <w:r w:rsidRPr="004E7A0A">
          <w:rPr>
            <w:rStyle w:val="Hervorhebung"/>
            <w:sz w:val="24"/>
            <w:szCs w:val="24"/>
          </w:rPr>
          <w:t>Art. 34</w:t>
        </w:r>
      </w:hyperlink>
      <w:r w:rsidRPr="004E7A0A">
        <w:rPr>
          <w:rStyle w:val="Hervorhebung"/>
          <w:sz w:val="24"/>
          <w:szCs w:val="24"/>
        </w:rPr>
        <w:t> und </w:t>
      </w:r>
      <w:hyperlink r:id="rId10" w:history="1">
        <w:r w:rsidRPr="004E7A0A">
          <w:rPr>
            <w:rStyle w:val="Hervorhebung"/>
            <w:sz w:val="24"/>
            <w:szCs w:val="24"/>
          </w:rPr>
          <w:t>Art. 35</w:t>
        </w:r>
      </w:hyperlink>
      <w:r w:rsidRPr="004E7A0A">
        <w:rPr>
          <w:rStyle w:val="Hervorhebung"/>
          <w:sz w:val="24"/>
          <w:szCs w:val="24"/>
        </w:rPr>
        <w:t> AEUV (Verbot mengenmäßiger Ein- und Ausfuhrbeschränkungen sowie Maßnahmen gleicher Wirkung).</w:t>
      </w:r>
    </w:p>
    <w:p w:rsidR="00577BE4" w:rsidRPr="004E7A0A" w:rsidRDefault="00577BE4" w:rsidP="00577BE4">
      <w:pPr>
        <w:rPr>
          <w:rStyle w:val="Hervorhebung"/>
          <w:b/>
          <w:sz w:val="24"/>
          <w:szCs w:val="24"/>
        </w:rPr>
      </w:pPr>
      <w:r w:rsidRPr="004E7A0A">
        <w:rPr>
          <w:rStyle w:val="Hervorhebung"/>
          <w:b/>
          <w:sz w:val="24"/>
          <w:szCs w:val="24"/>
          <w:u w:val="single"/>
        </w:rPr>
        <w:t>Personenfreizügigke</w:t>
      </w:r>
      <w:r w:rsidRPr="004E7A0A">
        <w:rPr>
          <w:rStyle w:val="Hervorhebung"/>
          <w:b/>
          <w:sz w:val="24"/>
          <w:szCs w:val="24"/>
        </w:rPr>
        <w:t>it</w:t>
      </w:r>
    </w:p>
    <w:p w:rsidR="00577BE4" w:rsidRDefault="00577BE4" w:rsidP="00577BE4">
      <w:pPr>
        <w:pStyle w:val="StandardWeb"/>
        <w:shd w:val="clear" w:color="auto" w:fill="FFFFFF"/>
        <w:spacing w:before="120" w:beforeAutospacing="0" w:after="120" w:afterAutospacing="0"/>
        <w:rPr>
          <w:rStyle w:val="Hervorhebung"/>
        </w:rPr>
      </w:pPr>
      <w:r w:rsidRPr="004E7A0A">
        <w:rPr>
          <w:rStyle w:val="Hervorhebung"/>
        </w:rPr>
        <w:t>Neben der allgemeinen Freizügigkeit für </w:t>
      </w:r>
      <w:hyperlink r:id="rId11" w:tooltip="Unionsbürgerschaft" w:history="1">
        <w:r w:rsidRPr="004E7A0A">
          <w:rPr>
            <w:rStyle w:val="Hervorhebung"/>
          </w:rPr>
          <w:t>Unionsbürger</w:t>
        </w:r>
      </w:hyperlink>
      <w:r w:rsidRPr="004E7A0A">
        <w:rPr>
          <w:rStyle w:val="Hervorhebung"/>
        </w:rPr>
        <w:t> nach </w:t>
      </w:r>
      <w:hyperlink r:id="rId12" w:history="1">
        <w:r w:rsidRPr="004E7A0A">
          <w:rPr>
            <w:rStyle w:val="Hervorhebung"/>
          </w:rPr>
          <w:t>Art. 21</w:t>
        </w:r>
      </w:hyperlink>
      <w:r w:rsidRPr="004E7A0A">
        <w:rPr>
          <w:rStyle w:val="Hervorhebung"/>
        </w:rPr>
        <w:t> AEUV existieren spezielle Ausprägungen in Form der </w:t>
      </w:r>
      <w:hyperlink r:id="rId13" w:tooltip="Arbeitnehmerfreizügigkeit" w:history="1">
        <w:r w:rsidRPr="004E7A0A">
          <w:rPr>
            <w:rStyle w:val="Hervorhebung"/>
          </w:rPr>
          <w:t>Arbeitnehmerfreizügigkeit</w:t>
        </w:r>
      </w:hyperlink>
      <w:r w:rsidRPr="004E7A0A">
        <w:rPr>
          <w:rStyle w:val="Hervorhebung"/>
        </w:rPr>
        <w:t> in </w:t>
      </w:r>
      <w:hyperlink r:id="rId14" w:history="1">
        <w:r w:rsidRPr="004E7A0A">
          <w:rPr>
            <w:rStyle w:val="Hervorhebung"/>
          </w:rPr>
          <w:t>Art. 45</w:t>
        </w:r>
      </w:hyperlink>
      <w:r w:rsidRPr="004E7A0A">
        <w:rPr>
          <w:rStyle w:val="Hervorhebung"/>
        </w:rPr>
        <w:t> AEUV und der </w:t>
      </w:r>
      <w:hyperlink r:id="rId15" w:tooltip="Niederlassungsfreiheit" w:history="1">
        <w:r w:rsidRPr="004E7A0A">
          <w:rPr>
            <w:rStyle w:val="Hervorhebung"/>
          </w:rPr>
          <w:t>Niederlassungsfreiheit</w:t>
        </w:r>
      </w:hyperlink>
      <w:r w:rsidRPr="004E7A0A">
        <w:rPr>
          <w:rStyle w:val="Hervorhebung"/>
        </w:rPr>
        <w:t> in der Union in </w:t>
      </w:r>
      <w:hyperlink r:id="rId16" w:history="1">
        <w:r w:rsidRPr="004E7A0A">
          <w:rPr>
            <w:rStyle w:val="Hervorhebung"/>
          </w:rPr>
          <w:t>Art. 49</w:t>
        </w:r>
      </w:hyperlink>
      <w:r w:rsidRPr="004E7A0A">
        <w:rPr>
          <w:rStyle w:val="Hervorhebung"/>
        </w:rPr>
        <w:t> AEUV.</w:t>
      </w:r>
    </w:p>
    <w:p w:rsidR="004E7A0A" w:rsidRPr="004E7A0A" w:rsidRDefault="004E7A0A" w:rsidP="00577BE4">
      <w:pPr>
        <w:pStyle w:val="StandardWeb"/>
        <w:shd w:val="clear" w:color="auto" w:fill="FFFFFF"/>
        <w:spacing w:before="120" w:beforeAutospacing="0" w:after="120" w:afterAutospacing="0"/>
        <w:rPr>
          <w:rStyle w:val="Hervorhebung"/>
          <w:u w:val="single"/>
        </w:rPr>
      </w:pPr>
    </w:p>
    <w:p w:rsidR="00577BE4" w:rsidRPr="004E7A0A" w:rsidRDefault="00322681" w:rsidP="00577BE4">
      <w:pPr>
        <w:rPr>
          <w:rStyle w:val="Hervorhebung"/>
          <w:b/>
          <w:vanish/>
          <w:sz w:val="24"/>
          <w:szCs w:val="24"/>
          <w:u w:val="single"/>
          <w:specVanish/>
        </w:rPr>
      </w:pPr>
      <w:r w:rsidRPr="004E7A0A">
        <w:rPr>
          <w:rStyle w:val="Hervorhebung"/>
          <w:b/>
          <w:sz w:val="24"/>
          <w:szCs w:val="24"/>
          <w:u w:val="single"/>
        </w:rPr>
        <w:t>Dienstleistungsfreiheit</w:t>
      </w:r>
    </w:p>
    <w:p w:rsidR="004735C2" w:rsidRDefault="00322681" w:rsidP="00577BE4">
      <w:pPr>
        <w:pStyle w:val="StandardWeb"/>
        <w:shd w:val="clear" w:color="auto" w:fill="FFFFFF"/>
        <w:spacing w:before="120" w:beforeAutospacing="0" w:after="120" w:afterAutospacing="0"/>
        <w:rPr>
          <w:rStyle w:val="Hervorhebung"/>
        </w:rPr>
      </w:pPr>
      <w:r w:rsidRPr="004E7A0A">
        <w:rPr>
          <w:rStyle w:val="Hervorhebung"/>
        </w:rPr>
        <w:t xml:space="preserve"> </w:t>
      </w:r>
    </w:p>
    <w:p w:rsidR="00577BE4" w:rsidRDefault="00577BE4" w:rsidP="00577BE4">
      <w:pPr>
        <w:pStyle w:val="StandardWeb"/>
        <w:shd w:val="clear" w:color="auto" w:fill="FFFFFF"/>
        <w:spacing w:before="120" w:beforeAutospacing="0" w:after="120" w:afterAutospacing="0"/>
        <w:rPr>
          <w:rStyle w:val="Hervorhebung"/>
        </w:rPr>
      </w:pPr>
      <w:r w:rsidRPr="004E7A0A">
        <w:rPr>
          <w:rStyle w:val="Hervorhebung"/>
        </w:rPr>
        <w:t>Diese soll sicherstellen, dass jeder Unternehmer mit Niederlassung in einem Mitgliedsstaat der EU seine </w:t>
      </w:r>
      <w:hyperlink r:id="rId17" w:tooltip="Dienstleistung" w:history="1">
        <w:r w:rsidRPr="004E7A0A">
          <w:rPr>
            <w:rStyle w:val="Hervorhebung"/>
          </w:rPr>
          <w:t>Dienstleistungen</w:t>
        </w:r>
      </w:hyperlink>
      <w:r w:rsidRPr="004E7A0A">
        <w:rPr>
          <w:rStyle w:val="Hervorhebung"/>
        </w:rPr>
        <w:t> auch in den anderen Mitgliedsstaaten anbieten und durchführen darf. Geregelt ist sie in </w:t>
      </w:r>
      <w:hyperlink r:id="rId18" w:history="1">
        <w:r w:rsidRPr="004E7A0A">
          <w:rPr>
            <w:rStyle w:val="Hervorhebung"/>
          </w:rPr>
          <w:t>Art. 56</w:t>
        </w:r>
      </w:hyperlink>
      <w:r w:rsidRPr="004E7A0A">
        <w:rPr>
          <w:rStyle w:val="Hervorhebung"/>
        </w:rPr>
        <w:t> AEUV.</w:t>
      </w:r>
    </w:p>
    <w:p w:rsidR="004E7A0A" w:rsidRPr="004E7A0A" w:rsidRDefault="004E7A0A" w:rsidP="00577BE4">
      <w:pPr>
        <w:pStyle w:val="StandardWeb"/>
        <w:shd w:val="clear" w:color="auto" w:fill="FFFFFF"/>
        <w:spacing w:before="120" w:beforeAutospacing="0" w:after="120" w:afterAutospacing="0"/>
        <w:rPr>
          <w:rStyle w:val="Hervorhebung"/>
        </w:rPr>
      </w:pPr>
    </w:p>
    <w:p w:rsidR="00577BE4" w:rsidRPr="004E7A0A" w:rsidRDefault="00996F30" w:rsidP="00577BE4">
      <w:pPr>
        <w:rPr>
          <w:rStyle w:val="Hervorhebung"/>
          <w:b/>
          <w:sz w:val="24"/>
          <w:szCs w:val="24"/>
          <w:u w:val="single"/>
        </w:rPr>
      </w:pPr>
      <w:r w:rsidRPr="004E7A0A">
        <w:rPr>
          <w:rStyle w:val="Hervorhebung"/>
          <w:b/>
          <w:sz w:val="24"/>
          <w:szCs w:val="24"/>
          <w:u w:val="single"/>
        </w:rPr>
        <w:t xml:space="preserve">Freier </w:t>
      </w:r>
      <w:r w:rsidR="00322681" w:rsidRPr="004E7A0A">
        <w:rPr>
          <w:rStyle w:val="Hervorhebung"/>
          <w:b/>
          <w:sz w:val="24"/>
          <w:szCs w:val="24"/>
          <w:u w:val="single"/>
        </w:rPr>
        <w:t>Kapital</w:t>
      </w:r>
      <w:r w:rsidRPr="004E7A0A">
        <w:rPr>
          <w:rStyle w:val="Hervorhebung"/>
          <w:b/>
          <w:sz w:val="24"/>
          <w:szCs w:val="24"/>
          <w:u w:val="single"/>
        </w:rPr>
        <w:t xml:space="preserve"> und Z</w:t>
      </w:r>
      <w:r w:rsidR="00577BE4" w:rsidRPr="004E7A0A">
        <w:rPr>
          <w:rStyle w:val="Hervorhebung"/>
          <w:b/>
          <w:sz w:val="24"/>
          <w:szCs w:val="24"/>
          <w:u w:val="single"/>
        </w:rPr>
        <w:t>ahlungsverkehr</w:t>
      </w:r>
    </w:p>
    <w:p w:rsidR="00577BE4" w:rsidRPr="004E7A0A" w:rsidRDefault="00577BE4" w:rsidP="00577BE4">
      <w:pPr>
        <w:rPr>
          <w:rStyle w:val="Hervorhebung"/>
          <w:sz w:val="24"/>
          <w:szCs w:val="24"/>
        </w:rPr>
      </w:pPr>
      <w:r w:rsidRPr="004E7A0A">
        <w:rPr>
          <w:rStyle w:val="Hervorhebung"/>
          <w:sz w:val="24"/>
          <w:szCs w:val="24"/>
        </w:rPr>
        <w:t>Der Freie Kapital- und Zahlungsverkehr erlaubt den Transfer von Geldern und Wertpapieren in beliebiger Höhe nicht nur zwischen den Mitgliedsstaaten, sondern auch zwischen Mitgliedsstaaten und Drittstaaten (Art. 63 AEUV). Eine Besonderheit dieser Grundfreiheit ist, dass sie prinzipiell auch für Drittstaatsangehörige gilt, wobei jedoch Beschränkungen möglich sind. Die Kapitalverkehrsfreiheit soll bis 2019 in den Grundzügen durch eine Kapitalmarktunion vertieft werden.</w:t>
      </w:r>
    </w:p>
    <w:p w:rsidR="00577BE4" w:rsidRPr="004E7A0A" w:rsidRDefault="00577BE4" w:rsidP="00577BE4">
      <w:pPr>
        <w:rPr>
          <w:rStyle w:val="Hervorhebung"/>
        </w:rPr>
      </w:pPr>
    </w:p>
    <w:p w:rsidR="00577BE4" w:rsidRPr="004E7A0A" w:rsidRDefault="00577BE4" w:rsidP="00577BE4">
      <w:pPr>
        <w:rPr>
          <w:rStyle w:val="Hervorhebung"/>
        </w:rPr>
      </w:pPr>
    </w:p>
    <w:p w:rsidR="00577BE4" w:rsidRPr="004E7A0A" w:rsidRDefault="00577BE4">
      <w:pPr>
        <w:rPr>
          <w:rStyle w:val="Hervorhebung"/>
          <w:sz w:val="24"/>
          <w:szCs w:val="24"/>
        </w:rPr>
      </w:pPr>
    </w:p>
    <w:p w:rsidR="00080C90" w:rsidRDefault="00080C90">
      <w:pPr>
        <w:rPr>
          <w:rStyle w:val="Hervorhebung"/>
          <w:sz w:val="24"/>
          <w:szCs w:val="24"/>
        </w:rPr>
      </w:pPr>
    </w:p>
    <w:p w:rsidR="00080C90" w:rsidRDefault="00080C90">
      <w:pPr>
        <w:rPr>
          <w:rStyle w:val="Hervorhebung"/>
          <w:sz w:val="24"/>
          <w:szCs w:val="24"/>
        </w:rPr>
      </w:pPr>
    </w:p>
    <w:p w:rsidR="00080C90" w:rsidRDefault="00080C90">
      <w:pPr>
        <w:rPr>
          <w:rStyle w:val="Hervorhebung"/>
          <w:sz w:val="24"/>
          <w:szCs w:val="24"/>
        </w:rPr>
      </w:pPr>
    </w:p>
    <w:p w:rsidR="0050658F" w:rsidRPr="00080C90" w:rsidRDefault="00322681">
      <w:pPr>
        <w:rPr>
          <w:rFonts w:ascii="Arial" w:hAnsi="Arial" w:cs="Arial"/>
          <w:color w:val="222222"/>
          <w:sz w:val="24"/>
          <w:szCs w:val="24"/>
        </w:rPr>
      </w:pPr>
      <w:proofErr w:type="spellStart"/>
      <w:r w:rsidRPr="00080C90">
        <w:rPr>
          <w:rStyle w:val="Hervorhebung"/>
          <w:b/>
          <w:sz w:val="24"/>
          <w:szCs w:val="24"/>
          <w:u w:val="single"/>
        </w:rPr>
        <w:t>What</w:t>
      </w:r>
      <w:proofErr w:type="spellEnd"/>
      <w:r w:rsidRPr="00080C90">
        <w:rPr>
          <w:rStyle w:val="Hervorhebung"/>
          <w:b/>
          <w:sz w:val="24"/>
          <w:szCs w:val="24"/>
          <w:u w:val="single"/>
        </w:rPr>
        <w:t xml:space="preserve"> ist </w:t>
      </w:r>
      <w:proofErr w:type="spellStart"/>
      <w:r w:rsidRPr="00080C90">
        <w:rPr>
          <w:rStyle w:val="Hervorhebung"/>
          <w:b/>
          <w:sz w:val="24"/>
          <w:szCs w:val="24"/>
          <w:u w:val="single"/>
        </w:rPr>
        <w:t>the</w:t>
      </w:r>
      <w:proofErr w:type="spellEnd"/>
      <w:r w:rsidRPr="00080C90">
        <w:rPr>
          <w:rFonts w:ascii="Arial Unicode MS" w:hAnsi="Arial Unicode MS"/>
          <w:b/>
          <w:color w:val="002257"/>
          <w:sz w:val="24"/>
          <w:szCs w:val="24"/>
          <w:u w:val="single"/>
          <w:shd w:val="clear" w:color="auto" w:fill="F9F9F9"/>
        </w:rPr>
        <w:t> </w:t>
      </w:r>
      <w:r w:rsidRPr="00080C90">
        <w:rPr>
          <w:rStyle w:val="hl"/>
          <w:rFonts w:ascii="Arial Unicode MS" w:hAnsi="Arial Unicode MS"/>
          <w:b/>
          <w:color w:val="002257"/>
          <w:sz w:val="24"/>
          <w:szCs w:val="24"/>
          <w:u w:val="single"/>
        </w:rPr>
        <w:t>European</w:t>
      </w:r>
      <w:r w:rsidRPr="00080C90">
        <w:rPr>
          <w:rFonts w:ascii="Arial Unicode MS" w:hAnsi="Arial Unicode MS"/>
          <w:b/>
          <w:color w:val="002257"/>
          <w:sz w:val="24"/>
          <w:szCs w:val="24"/>
          <w:u w:val="single"/>
          <w:shd w:val="clear" w:color="auto" w:fill="F9F9F9"/>
        </w:rPr>
        <w:t> </w:t>
      </w:r>
      <w:proofErr w:type="spellStart"/>
      <w:r w:rsidRPr="00080C90">
        <w:rPr>
          <w:rStyle w:val="hl"/>
          <w:rFonts w:ascii="Arial Unicode MS" w:hAnsi="Arial Unicode MS"/>
          <w:b/>
          <w:color w:val="002257"/>
          <w:sz w:val="24"/>
          <w:szCs w:val="24"/>
          <w:u w:val="single"/>
        </w:rPr>
        <w:t>single</w:t>
      </w:r>
      <w:proofErr w:type="spellEnd"/>
      <w:r w:rsidRPr="00080C90">
        <w:rPr>
          <w:rFonts w:ascii="Arial Unicode MS" w:hAnsi="Arial Unicode MS"/>
          <w:b/>
          <w:color w:val="002257"/>
          <w:sz w:val="24"/>
          <w:szCs w:val="24"/>
          <w:u w:val="single"/>
          <w:shd w:val="clear" w:color="auto" w:fill="F9F9F9"/>
        </w:rPr>
        <w:t> </w:t>
      </w:r>
      <w:proofErr w:type="spellStart"/>
      <w:r w:rsidRPr="00080C90">
        <w:rPr>
          <w:rStyle w:val="hl"/>
          <w:rFonts w:ascii="Arial Unicode MS" w:hAnsi="Arial Unicode MS"/>
          <w:b/>
          <w:color w:val="002257"/>
          <w:sz w:val="24"/>
          <w:szCs w:val="24"/>
          <w:u w:val="single"/>
        </w:rPr>
        <w:t>market</w:t>
      </w:r>
      <w:proofErr w:type="spellEnd"/>
      <w:r w:rsidRPr="00080C90">
        <w:rPr>
          <w:rFonts w:ascii="Arial Unicode MS" w:hAnsi="Arial Unicode MS"/>
          <w:b/>
          <w:color w:val="002257"/>
          <w:sz w:val="24"/>
          <w:szCs w:val="24"/>
          <w:u w:val="single"/>
          <w:shd w:val="clear" w:color="auto" w:fill="F9F9F9"/>
        </w:rPr>
        <w:t>?</w:t>
      </w:r>
      <w:bookmarkStart w:id="0" w:name="_GoBack"/>
      <w:bookmarkEnd w:id="0"/>
    </w:p>
    <w:p w:rsidR="00322681" w:rsidRPr="00080C90" w:rsidRDefault="004E7A0A" w:rsidP="004E7A0A">
      <w:pPr>
        <w:rPr>
          <w:rStyle w:val="Hervorhebung"/>
        </w:rPr>
      </w:pPr>
      <w:r w:rsidRPr="00080C90">
        <w:rPr>
          <w:rStyle w:val="Hervorhebung"/>
        </w:rPr>
        <w:t xml:space="preserve">The European </w:t>
      </w:r>
      <w:proofErr w:type="spellStart"/>
      <w:r w:rsidRPr="00080C90">
        <w:rPr>
          <w:rStyle w:val="Hervorhebung"/>
        </w:rPr>
        <w:t>single</w:t>
      </w:r>
      <w:proofErr w:type="spellEnd"/>
      <w:r w:rsidRPr="00080C90">
        <w:rPr>
          <w:rStyle w:val="Hervorhebung"/>
        </w:rPr>
        <w:t xml:space="preserve"> </w:t>
      </w:r>
      <w:proofErr w:type="spellStart"/>
      <w:r w:rsidRPr="00080C90">
        <w:rPr>
          <w:rStyle w:val="Hervorhebung"/>
        </w:rPr>
        <w:t>market</w:t>
      </w:r>
      <w:proofErr w:type="spellEnd"/>
      <w:r w:rsidRPr="00080C90">
        <w:rPr>
          <w:rStyle w:val="Hervorhebung"/>
        </w:rPr>
        <w:t xml:space="preserve"> ist he </w:t>
      </w:r>
      <w:proofErr w:type="spellStart"/>
      <w:r w:rsidRPr="00080C90">
        <w:rPr>
          <w:rStyle w:val="Hervorhebung"/>
        </w:rPr>
        <w:t>common</w:t>
      </w:r>
      <w:proofErr w:type="spellEnd"/>
      <w:r w:rsidRPr="00080C90">
        <w:rPr>
          <w:rStyle w:val="Hervorhebung"/>
        </w:rPr>
        <w:t xml:space="preserve"> </w:t>
      </w:r>
      <w:proofErr w:type="spellStart"/>
      <w:r w:rsidRPr="00080C90">
        <w:rPr>
          <w:rStyle w:val="Hervorhebung"/>
        </w:rPr>
        <w:t>single</w:t>
      </w:r>
      <w:proofErr w:type="spellEnd"/>
      <w:r w:rsidRPr="00080C90">
        <w:rPr>
          <w:rStyle w:val="Hervorhebung"/>
        </w:rPr>
        <w:t xml:space="preserve"> </w:t>
      </w:r>
      <w:proofErr w:type="spellStart"/>
      <w:r w:rsidRPr="00080C90">
        <w:rPr>
          <w:rStyle w:val="Hervorhebung"/>
        </w:rPr>
        <w:t>market</w:t>
      </w:r>
      <w:proofErr w:type="spellEnd"/>
      <w:r w:rsidRPr="00080C90">
        <w:rPr>
          <w:rStyle w:val="Hervorhebung"/>
        </w:rPr>
        <w:t xml:space="preserve"> oft he 28 European </w:t>
      </w:r>
      <w:proofErr w:type="spellStart"/>
      <w:r w:rsidRPr="00080C90">
        <w:rPr>
          <w:rStyle w:val="Hervorhebung"/>
        </w:rPr>
        <w:t>member</w:t>
      </w:r>
      <w:proofErr w:type="spellEnd"/>
      <w:r w:rsidRPr="00080C90">
        <w:rPr>
          <w:rStyle w:val="Hervorhebung"/>
        </w:rPr>
        <w:t xml:space="preserve"> </w:t>
      </w:r>
      <w:proofErr w:type="spellStart"/>
      <w:r w:rsidRPr="00080C90">
        <w:rPr>
          <w:rStyle w:val="Hervorhebung"/>
        </w:rPr>
        <w:t>states</w:t>
      </w:r>
      <w:proofErr w:type="spellEnd"/>
      <w:r w:rsidRPr="00080C90">
        <w:rPr>
          <w:rStyle w:val="Hervorhebung"/>
        </w:rPr>
        <w:t xml:space="preserve"> ans </w:t>
      </w:r>
      <w:proofErr w:type="spellStart"/>
      <w:r w:rsidRPr="00080C90">
        <w:rPr>
          <w:rStyle w:val="Hervorhebung"/>
        </w:rPr>
        <w:t>is</w:t>
      </w:r>
      <w:proofErr w:type="spellEnd"/>
      <w:r w:rsidRPr="00080C90">
        <w:rPr>
          <w:rStyle w:val="Hervorhebung"/>
        </w:rPr>
        <w:t xml:space="preserve"> </w:t>
      </w:r>
      <w:proofErr w:type="spellStart"/>
      <w:r w:rsidRPr="00080C90">
        <w:rPr>
          <w:rStyle w:val="Hervorhebung"/>
        </w:rPr>
        <w:t>one</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largest</w:t>
      </w:r>
      <w:proofErr w:type="spellEnd"/>
      <w:r w:rsidRPr="00080C90">
        <w:rPr>
          <w:rStyle w:val="Hervorhebung"/>
        </w:rPr>
        <w:t xml:space="preserve"> </w:t>
      </w:r>
      <w:proofErr w:type="spellStart"/>
      <w:r w:rsidRPr="00080C90">
        <w:rPr>
          <w:rStyle w:val="Hervorhebung"/>
        </w:rPr>
        <w:t>common</w:t>
      </w:r>
      <w:proofErr w:type="spellEnd"/>
      <w:r w:rsidRPr="00080C90">
        <w:rPr>
          <w:rStyle w:val="Hervorhebung"/>
        </w:rPr>
        <w:t xml:space="preserve"> </w:t>
      </w:r>
      <w:proofErr w:type="spellStart"/>
      <w:r w:rsidRPr="00080C90">
        <w:rPr>
          <w:rStyle w:val="Hervorhebung"/>
        </w:rPr>
        <w:t>markets</w:t>
      </w:r>
      <w:proofErr w:type="spellEnd"/>
      <w:r w:rsidRPr="00080C90">
        <w:rPr>
          <w:rStyle w:val="Hervorhebung"/>
        </w:rPr>
        <w:t xml:space="preserve"> in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wold</w:t>
      </w:r>
      <w:proofErr w:type="spellEnd"/>
      <w:r w:rsidRPr="00080C90">
        <w:rPr>
          <w:rStyle w:val="Hervorhebung"/>
        </w:rPr>
        <w:t xml:space="preserve">. </w:t>
      </w:r>
      <w:proofErr w:type="spellStart"/>
      <w:r w:rsidRPr="00080C90">
        <w:rPr>
          <w:rStyle w:val="Hervorhebung"/>
        </w:rPr>
        <w:t>It</w:t>
      </w:r>
      <w:proofErr w:type="spellEnd"/>
      <w:r w:rsidRPr="00080C90">
        <w:rPr>
          <w:rStyle w:val="Hervorhebung"/>
        </w:rPr>
        <w:t xml:space="preserve"> </w:t>
      </w:r>
      <w:proofErr w:type="spellStart"/>
      <w:r w:rsidRPr="00080C90">
        <w:rPr>
          <w:rStyle w:val="Hervorhebung"/>
        </w:rPr>
        <w:t>has</w:t>
      </w:r>
      <w:proofErr w:type="spellEnd"/>
      <w:r w:rsidRPr="00080C90">
        <w:rPr>
          <w:rStyle w:val="Hervorhebung"/>
        </w:rPr>
        <w:t xml:space="preserve"> </w:t>
      </w:r>
      <w:proofErr w:type="spellStart"/>
      <w:r w:rsidRPr="00080C90">
        <w:rPr>
          <w:rStyle w:val="Hervorhebung"/>
        </w:rPr>
        <w:t>been</w:t>
      </w:r>
      <w:proofErr w:type="spellEnd"/>
      <w:r w:rsidRPr="00080C90">
        <w:rPr>
          <w:rStyle w:val="Hervorhebung"/>
        </w:rPr>
        <w:t xml:space="preserve"> in </w:t>
      </w:r>
      <w:proofErr w:type="spellStart"/>
      <w:r w:rsidRPr="00080C90">
        <w:rPr>
          <w:rStyle w:val="Hervorhebung"/>
        </w:rPr>
        <w:t>existence</w:t>
      </w:r>
      <w:proofErr w:type="spellEnd"/>
      <w:r w:rsidRPr="00080C90">
        <w:rPr>
          <w:rStyle w:val="Hervorhebung"/>
        </w:rPr>
        <w:t xml:space="preserve"> </w:t>
      </w:r>
      <w:proofErr w:type="spellStart"/>
      <w:r w:rsidRPr="00080C90">
        <w:rPr>
          <w:rStyle w:val="Hervorhebung"/>
        </w:rPr>
        <w:t>since</w:t>
      </w:r>
      <w:proofErr w:type="spellEnd"/>
      <w:r w:rsidRPr="00080C90">
        <w:rPr>
          <w:rStyle w:val="Hervorhebung"/>
        </w:rPr>
        <w:t xml:space="preserve"> 1 </w:t>
      </w:r>
      <w:proofErr w:type="spellStart"/>
      <w:r w:rsidRPr="00080C90">
        <w:rPr>
          <w:rStyle w:val="Hervorhebung"/>
        </w:rPr>
        <w:t>January</w:t>
      </w:r>
      <w:proofErr w:type="spellEnd"/>
      <w:r w:rsidRPr="00080C90">
        <w:rPr>
          <w:rStyle w:val="Hervorhebung"/>
        </w:rPr>
        <w:t xml:space="preserve"> 1993</w:t>
      </w:r>
    </w:p>
    <w:p w:rsidR="00080C90" w:rsidRPr="00080C90" w:rsidRDefault="00080C90" w:rsidP="004E7A0A">
      <w:pPr>
        <w:rPr>
          <w:rStyle w:val="Hervorhebung"/>
          <w:u w:val="single"/>
        </w:rPr>
      </w:pPr>
    </w:p>
    <w:p w:rsidR="004E7A0A" w:rsidRPr="00080C90" w:rsidRDefault="004E7A0A" w:rsidP="004E7A0A">
      <w:pPr>
        <w:rPr>
          <w:rStyle w:val="Hervorhebung"/>
          <w:b/>
          <w:u w:val="single"/>
        </w:rPr>
      </w:pPr>
      <w:r w:rsidRPr="00080C90">
        <w:rPr>
          <w:rStyle w:val="Hervorhebung"/>
          <w:b/>
          <w:u w:val="single"/>
        </w:rPr>
        <w:t xml:space="preserve">The </w:t>
      </w:r>
      <w:proofErr w:type="spellStart"/>
      <w:r w:rsidRPr="00080C90">
        <w:rPr>
          <w:rStyle w:val="Hervorhebung"/>
          <w:b/>
          <w:u w:val="single"/>
        </w:rPr>
        <w:t>four</w:t>
      </w:r>
      <w:proofErr w:type="spellEnd"/>
      <w:r w:rsidRPr="00080C90">
        <w:rPr>
          <w:rStyle w:val="Hervorhebung"/>
          <w:b/>
          <w:u w:val="single"/>
        </w:rPr>
        <w:t xml:space="preserve"> fundamental </w:t>
      </w:r>
      <w:proofErr w:type="spellStart"/>
      <w:r w:rsidRPr="00080C90">
        <w:rPr>
          <w:rStyle w:val="Hervorhebung"/>
          <w:b/>
          <w:u w:val="single"/>
        </w:rPr>
        <w:t>freedoms</w:t>
      </w:r>
      <w:proofErr w:type="spellEnd"/>
    </w:p>
    <w:p w:rsidR="004E7A0A" w:rsidRPr="00080C90" w:rsidRDefault="004E7A0A" w:rsidP="004E7A0A">
      <w:pPr>
        <w:rPr>
          <w:i/>
          <w:iCs/>
        </w:rPr>
      </w:pPr>
      <w:r w:rsidRPr="00080C90">
        <w:rPr>
          <w:i/>
          <w:iCs/>
        </w:rPr>
        <w:t xml:space="preserve">The </w:t>
      </w:r>
      <w:proofErr w:type="spellStart"/>
      <w:r w:rsidRPr="00080C90">
        <w:rPr>
          <w:i/>
          <w:iCs/>
        </w:rPr>
        <w:t>four</w:t>
      </w:r>
      <w:proofErr w:type="spellEnd"/>
      <w:r w:rsidRPr="00080C90">
        <w:rPr>
          <w:i/>
          <w:iCs/>
        </w:rPr>
        <w:t xml:space="preserve"> fundamental </w:t>
      </w:r>
      <w:proofErr w:type="spellStart"/>
      <w:r w:rsidRPr="00080C90">
        <w:rPr>
          <w:i/>
          <w:iCs/>
        </w:rPr>
        <w:t>freedoms</w:t>
      </w:r>
      <w:proofErr w:type="spellEnd"/>
      <w:r w:rsidRPr="00080C90">
        <w:rPr>
          <w:i/>
          <w:iCs/>
        </w:rPr>
        <w:t xml:space="preserve"> form </w:t>
      </w:r>
      <w:proofErr w:type="spellStart"/>
      <w:r w:rsidRPr="00080C90">
        <w:rPr>
          <w:i/>
          <w:iCs/>
        </w:rPr>
        <w:t>the</w:t>
      </w:r>
      <w:proofErr w:type="spellEnd"/>
      <w:r w:rsidRPr="00080C90">
        <w:rPr>
          <w:i/>
          <w:iCs/>
        </w:rPr>
        <w:t xml:space="preserve"> </w:t>
      </w:r>
      <w:proofErr w:type="spellStart"/>
      <w:r w:rsidRPr="00080C90">
        <w:rPr>
          <w:i/>
          <w:iCs/>
        </w:rPr>
        <w:t>basis</w:t>
      </w:r>
      <w:proofErr w:type="spellEnd"/>
      <w:r w:rsidRPr="00080C90">
        <w:rPr>
          <w:i/>
          <w:iCs/>
        </w:rPr>
        <w:t xml:space="preserve"> </w:t>
      </w:r>
      <w:proofErr w:type="spellStart"/>
      <w:r w:rsidRPr="00080C90">
        <w:rPr>
          <w:i/>
          <w:iCs/>
        </w:rPr>
        <w:t>of</w:t>
      </w:r>
      <w:proofErr w:type="spellEnd"/>
      <w:r w:rsidRPr="00080C90">
        <w:rPr>
          <w:i/>
          <w:iCs/>
        </w:rPr>
        <w:t xml:space="preserve"> </w:t>
      </w:r>
      <w:proofErr w:type="spellStart"/>
      <w:r w:rsidRPr="00080C90">
        <w:rPr>
          <w:i/>
          <w:iCs/>
        </w:rPr>
        <w:t>the</w:t>
      </w:r>
      <w:proofErr w:type="spellEnd"/>
      <w:r w:rsidRPr="00080C90">
        <w:rPr>
          <w:i/>
          <w:iCs/>
        </w:rPr>
        <w:t xml:space="preserve"> internal </w:t>
      </w:r>
      <w:proofErr w:type="spellStart"/>
      <w:r w:rsidRPr="00080C90">
        <w:rPr>
          <w:i/>
          <w:iCs/>
        </w:rPr>
        <w:t>market</w:t>
      </w:r>
      <w:proofErr w:type="spellEnd"/>
      <w:r w:rsidRPr="00080C90">
        <w:rPr>
          <w:i/>
          <w:iCs/>
        </w:rPr>
        <w:t xml:space="preserve"> </w:t>
      </w:r>
      <w:proofErr w:type="spellStart"/>
      <w:r w:rsidRPr="00080C90">
        <w:rPr>
          <w:i/>
          <w:iCs/>
        </w:rPr>
        <w:t>of</w:t>
      </w:r>
      <w:proofErr w:type="spellEnd"/>
      <w:r w:rsidRPr="00080C90">
        <w:rPr>
          <w:i/>
          <w:iCs/>
        </w:rPr>
        <w:t xml:space="preserve"> </w:t>
      </w:r>
      <w:proofErr w:type="spellStart"/>
      <w:r w:rsidRPr="00080C90">
        <w:rPr>
          <w:i/>
          <w:iCs/>
        </w:rPr>
        <w:t>the</w:t>
      </w:r>
      <w:proofErr w:type="spellEnd"/>
      <w:r w:rsidRPr="00080C90">
        <w:rPr>
          <w:i/>
          <w:iCs/>
        </w:rPr>
        <w:t xml:space="preserve"> European Union. </w:t>
      </w:r>
      <w:proofErr w:type="spellStart"/>
      <w:r w:rsidRPr="00080C90">
        <w:rPr>
          <w:i/>
          <w:iCs/>
        </w:rPr>
        <w:t>Their</w:t>
      </w:r>
      <w:proofErr w:type="spellEnd"/>
      <w:r w:rsidRPr="00080C90">
        <w:rPr>
          <w:i/>
          <w:iCs/>
        </w:rPr>
        <w:t xml:space="preserve"> legal </w:t>
      </w:r>
      <w:proofErr w:type="spellStart"/>
      <w:r w:rsidRPr="00080C90">
        <w:rPr>
          <w:i/>
          <w:iCs/>
        </w:rPr>
        <w:t>basis</w:t>
      </w:r>
      <w:proofErr w:type="spellEnd"/>
      <w:r w:rsidRPr="00080C90">
        <w:rPr>
          <w:i/>
          <w:iCs/>
        </w:rPr>
        <w:t xml:space="preserve"> </w:t>
      </w:r>
      <w:proofErr w:type="spellStart"/>
      <w:r w:rsidRPr="00080C90">
        <w:rPr>
          <w:i/>
          <w:iCs/>
        </w:rPr>
        <w:t>can</w:t>
      </w:r>
      <w:proofErr w:type="spellEnd"/>
      <w:r w:rsidRPr="00080C90">
        <w:rPr>
          <w:i/>
          <w:iCs/>
        </w:rPr>
        <w:t xml:space="preserve"> </w:t>
      </w:r>
      <w:proofErr w:type="spellStart"/>
      <w:r w:rsidRPr="00080C90">
        <w:rPr>
          <w:i/>
          <w:iCs/>
        </w:rPr>
        <w:t>be</w:t>
      </w:r>
      <w:proofErr w:type="spellEnd"/>
      <w:r w:rsidRPr="00080C90">
        <w:rPr>
          <w:i/>
          <w:iCs/>
        </w:rPr>
        <w:t xml:space="preserve"> </w:t>
      </w:r>
      <w:proofErr w:type="spellStart"/>
      <w:r w:rsidRPr="00080C90">
        <w:rPr>
          <w:i/>
          <w:iCs/>
        </w:rPr>
        <w:t>found</w:t>
      </w:r>
      <w:proofErr w:type="spellEnd"/>
      <w:r w:rsidRPr="00080C90">
        <w:rPr>
          <w:i/>
          <w:iCs/>
        </w:rPr>
        <w:t xml:space="preserve"> in </w:t>
      </w:r>
      <w:proofErr w:type="spellStart"/>
      <w:r w:rsidRPr="00080C90">
        <w:rPr>
          <w:i/>
          <w:iCs/>
        </w:rPr>
        <w:t>the</w:t>
      </w:r>
      <w:proofErr w:type="spellEnd"/>
      <w:r w:rsidRPr="00080C90">
        <w:rPr>
          <w:i/>
          <w:iCs/>
        </w:rPr>
        <w:t xml:space="preserve"> Treaty on </w:t>
      </w:r>
      <w:proofErr w:type="spellStart"/>
      <w:r w:rsidRPr="00080C90">
        <w:rPr>
          <w:i/>
          <w:iCs/>
        </w:rPr>
        <w:t>the</w:t>
      </w:r>
      <w:proofErr w:type="spellEnd"/>
      <w:r w:rsidRPr="00080C90">
        <w:rPr>
          <w:i/>
          <w:iCs/>
        </w:rPr>
        <w:t xml:space="preserve"> </w:t>
      </w:r>
      <w:proofErr w:type="spellStart"/>
      <w:r w:rsidRPr="00080C90">
        <w:rPr>
          <w:i/>
          <w:iCs/>
        </w:rPr>
        <w:t>Functioning</w:t>
      </w:r>
      <w:proofErr w:type="spellEnd"/>
      <w:r w:rsidRPr="00080C90">
        <w:rPr>
          <w:i/>
          <w:iCs/>
        </w:rPr>
        <w:t xml:space="preserve"> </w:t>
      </w:r>
      <w:proofErr w:type="spellStart"/>
      <w:r w:rsidRPr="00080C90">
        <w:rPr>
          <w:i/>
          <w:iCs/>
        </w:rPr>
        <w:t>of</w:t>
      </w:r>
      <w:proofErr w:type="spellEnd"/>
      <w:r w:rsidRPr="00080C90">
        <w:rPr>
          <w:i/>
          <w:iCs/>
        </w:rPr>
        <w:t xml:space="preserve"> </w:t>
      </w:r>
      <w:proofErr w:type="spellStart"/>
      <w:r w:rsidRPr="00080C90">
        <w:rPr>
          <w:i/>
          <w:iCs/>
        </w:rPr>
        <w:t>the</w:t>
      </w:r>
      <w:proofErr w:type="spellEnd"/>
      <w:r w:rsidRPr="00080C90">
        <w:rPr>
          <w:i/>
          <w:iCs/>
        </w:rPr>
        <w:t xml:space="preserve"> European Union.</w:t>
      </w:r>
    </w:p>
    <w:p w:rsidR="004E7A0A" w:rsidRPr="00080C90" w:rsidRDefault="00FB4222" w:rsidP="004E7A0A">
      <w:pPr>
        <w:rPr>
          <w:rStyle w:val="Hervorhebung"/>
          <w:b/>
          <w:u w:val="single"/>
        </w:rPr>
      </w:pPr>
      <w:r w:rsidRPr="00080C90">
        <w:rPr>
          <w:rStyle w:val="Hervorhebung"/>
          <w:b/>
          <w:u w:val="single"/>
        </w:rPr>
        <w:t>1.</w:t>
      </w:r>
      <w:r w:rsidR="004E7A0A" w:rsidRPr="00080C90">
        <w:rPr>
          <w:rStyle w:val="Hervorhebung"/>
          <w:b/>
          <w:u w:val="single"/>
        </w:rPr>
        <w:t xml:space="preserve">Free </w:t>
      </w:r>
      <w:proofErr w:type="spellStart"/>
      <w:r w:rsidR="004E7A0A" w:rsidRPr="00080C90">
        <w:rPr>
          <w:rStyle w:val="Hervorhebung"/>
          <w:b/>
          <w:u w:val="single"/>
        </w:rPr>
        <w:t>movement</w:t>
      </w:r>
      <w:proofErr w:type="spellEnd"/>
      <w:r w:rsidR="004E7A0A" w:rsidRPr="00080C90">
        <w:rPr>
          <w:rStyle w:val="Hervorhebung"/>
          <w:b/>
          <w:u w:val="single"/>
        </w:rPr>
        <w:t xml:space="preserve"> </w:t>
      </w:r>
      <w:proofErr w:type="spellStart"/>
      <w:r w:rsidR="004E7A0A" w:rsidRPr="00080C90">
        <w:rPr>
          <w:rStyle w:val="Hervorhebung"/>
          <w:b/>
          <w:u w:val="single"/>
        </w:rPr>
        <w:t>of</w:t>
      </w:r>
      <w:proofErr w:type="spellEnd"/>
      <w:r w:rsidR="004E7A0A" w:rsidRPr="00080C90">
        <w:rPr>
          <w:rStyle w:val="Hervorhebung"/>
          <w:b/>
          <w:u w:val="single"/>
        </w:rPr>
        <w:t xml:space="preserve"> </w:t>
      </w:r>
      <w:proofErr w:type="spellStart"/>
      <w:r w:rsidR="004E7A0A" w:rsidRPr="00080C90">
        <w:rPr>
          <w:rStyle w:val="Hervorhebung"/>
          <w:b/>
          <w:u w:val="single"/>
        </w:rPr>
        <w:t>goods</w:t>
      </w:r>
      <w:proofErr w:type="spellEnd"/>
      <w:r w:rsidR="00F152A9" w:rsidRPr="00080C90">
        <w:rPr>
          <w:i/>
          <w:iCs/>
        </w:rPr>
        <w:t xml:space="preserve">       </w:t>
      </w:r>
      <w:r w:rsidR="00F152A9" w:rsidRPr="00080C90">
        <w:rPr>
          <w:i/>
          <w:iCs/>
        </w:rPr>
        <w:drawing>
          <wp:inline distT="0" distB="0" distL="0" distR="0" wp14:anchorId="3347118F" wp14:editId="48796CB2">
            <wp:extent cx="666750" cy="666750"/>
            <wp:effectExtent l="0" t="0" r="0" b="0"/>
            <wp:docPr id="1" name="Grafik 1" descr="Bildergebnis für freier waren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reier warenverkeh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4E7A0A" w:rsidRPr="00080C90" w:rsidRDefault="004E7A0A" w:rsidP="004E7A0A">
      <w:pPr>
        <w:rPr>
          <w:i/>
          <w:iCs/>
        </w:rPr>
      </w:pPr>
      <w:r w:rsidRPr="00080C90">
        <w:rPr>
          <w:i/>
          <w:iCs/>
          <w:lang w:val="en"/>
        </w:rPr>
        <w:t xml:space="preserve">Trade between the member states takes place without restriction. The relevant provisions can be found in Article 28 </w:t>
      </w:r>
      <w:r w:rsidR="00FB4222" w:rsidRPr="00080C90">
        <w:rPr>
          <w:i/>
          <w:iCs/>
          <w:lang w:val="en"/>
        </w:rPr>
        <w:t xml:space="preserve">AEUV </w:t>
      </w:r>
      <w:r w:rsidRPr="00080C90">
        <w:rPr>
          <w:i/>
          <w:iCs/>
          <w:lang w:val="en"/>
        </w:rPr>
        <w:t xml:space="preserve">(Customs Union), Article 30 </w:t>
      </w:r>
      <w:r w:rsidR="00FB4222" w:rsidRPr="00080C90">
        <w:rPr>
          <w:i/>
          <w:iCs/>
          <w:lang w:val="en"/>
        </w:rPr>
        <w:t xml:space="preserve">AEUV </w:t>
      </w:r>
      <w:r w:rsidRPr="00080C90">
        <w:rPr>
          <w:i/>
          <w:iCs/>
          <w:lang w:val="en"/>
        </w:rPr>
        <w:t xml:space="preserve">(prohibition of import and export duties and charges having equivalent effect) and Articles 34 and 35 </w:t>
      </w:r>
      <w:r w:rsidR="00FB4222" w:rsidRPr="00080C90">
        <w:rPr>
          <w:i/>
          <w:iCs/>
          <w:lang w:val="en"/>
        </w:rPr>
        <w:t xml:space="preserve">AEUV </w:t>
      </w:r>
      <w:r w:rsidRPr="00080C90">
        <w:rPr>
          <w:i/>
          <w:iCs/>
          <w:lang w:val="en"/>
        </w:rPr>
        <w:t>(prohibition of quantitative restrictions on imports and exports) Measures having equivalent effect).</w:t>
      </w:r>
      <w:r w:rsidR="00F152A9" w:rsidRPr="00080C90">
        <w:t xml:space="preserve"> </w:t>
      </w:r>
    </w:p>
    <w:p w:rsidR="004E7A0A" w:rsidRPr="00080C90" w:rsidRDefault="004E7A0A" w:rsidP="004E7A0A">
      <w:pPr>
        <w:rPr>
          <w:rStyle w:val="Hervorhebung"/>
        </w:rPr>
      </w:pPr>
    </w:p>
    <w:p w:rsidR="004E7A0A" w:rsidRPr="00080C90" w:rsidRDefault="00FB4222" w:rsidP="004E7A0A">
      <w:pPr>
        <w:rPr>
          <w:rStyle w:val="Hervorhebung"/>
          <w:b/>
          <w:u w:val="single"/>
        </w:rPr>
      </w:pPr>
      <w:r w:rsidRPr="00080C90">
        <w:rPr>
          <w:rStyle w:val="Hervorhebung"/>
          <w:b/>
          <w:u w:val="single"/>
        </w:rPr>
        <w:t xml:space="preserve">2. </w:t>
      </w:r>
      <w:r w:rsidR="004E7A0A" w:rsidRPr="00080C90">
        <w:rPr>
          <w:rStyle w:val="Hervorhebung"/>
          <w:b/>
          <w:u w:val="single"/>
        </w:rPr>
        <w:t xml:space="preserve">Free </w:t>
      </w:r>
      <w:proofErr w:type="spellStart"/>
      <w:r w:rsidR="004E7A0A" w:rsidRPr="00080C90">
        <w:rPr>
          <w:rStyle w:val="Hervorhebung"/>
          <w:b/>
          <w:u w:val="single"/>
        </w:rPr>
        <w:t>movement</w:t>
      </w:r>
      <w:proofErr w:type="spellEnd"/>
      <w:r w:rsidR="004E7A0A" w:rsidRPr="00080C90">
        <w:rPr>
          <w:rStyle w:val="Hervorhebung"/>
          <w:b/>
          <w:u w:val="single"/>
        </w:rPr>
        <w:t xml:space="preserve"> </w:t>
      </w:r>
      <w:proofErr w:type="spellStart"/>
      <w:r w:rsidR="004E7A0A" w:rsidRPr="00080C90">
        <w:rPr>
          <w:rStyle w:val="Hervorhebung"/>
          <w:b/>
          <w:u w:val="single"/>
        </w:rPr>
        <w:t>of</w:t>
      </w:r>
      <w:proofErr w:type="spellEnd"/>
      <w:r w:rsidR="004E7A0A" w:rsidRPr="00080C90">
        <w:rPr>
          <w:rStyle w:val="Hervorhebung"/>
          <w:b/>
          <w:u w:val="single"/>
        </w:rPr>
        <w:t xml:space="preserve"> </w:t>
      </w:r>
      <w:proofErr w:type="spellStart"/>
      <w:r w:rsidR="004E7A0A" w:rsidRPr="00080C90">
        <w:rPr>
          <w:rStyle w:val="Hervorhebung"/>
          <w:b/>
          <w:u w:val="single"/>
        </w:rPr>
        <w:t>persons</w:t>
      </w:r>
      <w:proofErr w:type="spellEnd"/>
      <w:r w:rsidR="00080C90" w:rsidRPr="00080C90">
        <w:rPr>
          <w:rStyle w:val="Hervorhebung"/>
          <w:b/>
          <w:u w:val="single"/>
        </w:rPr>
        <w:t xml:space="preserve">  </w:t>
      </w:r>
      <w:r w:rsidR="00080C90" w:rsidRPr="00080C90">
        <w:rPr>
          <w:rStyle w:val="Hervorhebung"/>
          <w:b/>
        </w:rPr>
        <w:t xml:space="preserve">   </w:t>
      </w:r>
      <w:r w:rsidR="00080C90" w:rsidRPr="00080C90">
        <w:rPr>
          <w:noProof/>
          <w:lang w:eastAsia="de-DE"/>
        </w:rPr>
        <w:drawing>
          <wp:inline distT="0" distB="0" distL="0" distR="0" wp14:anchorId="59A0FEBA" wp14:editId="1CFD6C67">
            <wp:extent cx="1076368" cy="809625"/>
            <wp:effectExtent l="0" t="0" r="9525" b="0"/>
            <wp:docPr id="6" name="Bild 9" descr="Bildergebnis für personenfreizüg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personenfreizügigkei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4814" cy="861109"/>
                    </a:xfrm>
                    <a:prstGeom prst="rect">
                      <a:avLst/>
                    </a:prstGeom>
                    <a:noFill/>
                    <a:ln>
                      <a:noFill/>
                    </a:ln>
                  </pic:spPr>
                </pic:pic>
              </a:graphicData>
            </a:graphic>
          </wp:inline>
        </w:drawing>
      </w:r>
    </w:p>
    <w:p w:rsidR="004E7A0A" w:rsidRPr="00080C90" w:rsidRDefault="003352F6" w:rsidP="004E7A0A">
      <w:pPr>
        <w:rPr>
          <w:rStyle w:val="Hervorhebung"/>
        </w:rPr>
      </w:pPr>
      <w:r w:rsidRPr="00080C90">
        <w:rPr>
          <w:rStyle w:val="Hervorhebung"/>
        </w:rPr>
        <w:lastRenderedPageBreak/>
        <w:t xml:space="preserve">In </w:t>
      </w:r>
      <w:proofErr w:type="spellStart"/>
      <w:r w:rsidRPr="00080C90">
        <w:rPr>
          <w:rStyle w:val="Hervorhebung"/>
        </w:rPr>
        <w:t>addition</w:t>
      </w:r>
      <w:proofErr w:type="spellEnd"/>
      <w:r w:rsidRPr="00080C90">
        <w:rPr>
          <w:rStyle w:val="Hervorhebung"/>
        </w:rPr>
        <w:t xml:space="preserve"> </w:t>
      </w:r>
      <w:proofErr w:type="spellStart"/>
      <w:r w:rsidRPr="00080C90">
        <w:rPr>
          <w:rStyle w:val="Hervorhebung"/>
        </w:rPr>
        <w:t>to</w:t>
      </w:r>
      <w:proofErr w:type="spellEnd"/>
      <w:r w:rsidRPr="00080C90">
        <w:rPr>
          <w:rStyle w:val="Hervorhebung"/>
        </w:rPr>
        <w:t xml:space="preserve"> </w:t>
      </w:r>
      <w:proofErr w:type="spellStart"/>
      <w:r w:rsidRPr="00080C90">
        <w:rPr>
          <w:rStyle w:val="Hervorhebung"/>
        </w:rPr>
        <w:t>general</w:t>
      </w:r>
      <w:proofErr w:type="spellEnd"/>
      <w:r w:rsidRPr="00080C90">
        <w:rPr>
          <w:rStyle w:val="Hervorhebung"/>
        </w:rPr>
        <w:t xml:space="preserve"> </w:t>
      </w:r>
      <w:proofErr w:type="spellStart"/>
      <w:r w:rsidRPr="00080C90">
        <w:rPr>
          <w:rStyle w:val="Hervorhebung"/>
        </w:rPr>
        <w:t>freedom</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movement</w:t>
      </w:r>
      <w:proofErr w:type="spellEnd"/>
      <w:r w:rsidRPr="00080C90">
        <w:rPr>
          <w:rStyle w:val="Hervorhebung"/>
        </w:rPr>
        <w:t xml:space="preserve"> </w:t>
      </w:r>
      <w:proofErr w:type="spellStart"/>
      <w:r w:rsidRPr="00080C90">
        <w:rPr>
          <w:rStyle w:val="Hervorhebung"/>
        </w:rPr>
        <w:t>for</w:t>
      </w:r>
      <w:proofErr w:type="spellEnd"/>
      <w:r w:rsidRPr="00080C90">
        <w:rPr>
          <w:rStyle w:val="Hervorhebung"/>
        </w:rPr>
        <w:t xml:space="preserve"> </w:t>
      </w:r>
      <w:proofErr w:type="spellStart"/>
      <w:r w:rsidRPr="00080C90">
        <w:rPr>
          <w:rStyle w:val="Hervorhebung"/>
        </w:rPr>
        <w:t>citizens</w:t>
      </w:r>
      <w:proofErr w:type="spellEnd"/>
      <w:r w:rsidRPr="00080C90">
        <w:rPr>
          <w:rStyle w:val="Hervorhebung"/>
        </w:rPr>
        <w:t xml:space="preserve"> </w:t>
      </w:r>
      <w:proofErr w:type="spellStart"/>
      <w:r w:rsidRPr="00080C90">
        <w:rPr>
          <w:rStyle w:val="Hervorhebung"/>
        </w:rPr>
        <w:t>under</w:t>
      </w:r>
      <w:proofErr w:type="spellEnd"/>
      <w:r w:rsidRPr="00080C90">
        <w:rPr>
          <w:rStyle w:val="Hervorhebung"/>
        </w:rPr>
        <w:t xml:space="preserve"> </w:t>
      </w:r>
      <w:proofErr w:type="spellStart"/>
      <w:r w:rsidR="004735C2" w:rsidRPr="00080C90">
        <w:rPr>
          <w:rStyle w:val="Hervorhebung"/>
        </w:rPr>
        <w:t>Article</w:t>
      </w:r>
      <w:proofErr w:type="spellEnd"/>
      <w:r w:rsidRPr="00080C90">
        <w:rPr>
          <w:rStyle w:val="Hervorhebung"/>
        </w:rPr>
        <w:t xml:space="preserve"> 21 AEUV, </w:t>
      </w:r>
      <w:proofErr w:type="spellStart"/>
      <w:r w:rsidRPr="00080C90">
        <w:rPr>
          <w:rStyle w:val="Hervorhebung"/>
        </w:rPr>
        <w:t>there</w:t>
      </w:r>
      <w:proofErr w:type="spellEnd"/>
      <w:r w:rsidRPr="00080C90">
        <w:rPr>
          <w:rStyle w:val="Hervorhebung"/>
        </w:rPr>
        <w:t xml:space="preserve"> </w:t>
      </w:r>
      <w:proofErr w:type="spellStart"/>
      <w:r w:rsidRPr="00080C90">
        <w:rPr>
          <w:rStyle w:val="Hervorhebung"/>
        </w:rPr>
        <w:t>are</w:t>
      </w:r>
      <w:proofErr w:type="spellEnd"/>
      <w:r w:rsidRPr="00080C90">
        <w:rPr>
          <w:rStyle w:val="Hervorhebung"/>
        </w:rPr>
        <w:t xml:space="preserve"> </w:t>
      </w:r>
      <w:proofErr w:type="spellStart"/>
      <w:r w:rsidRPr="00080C90">
        <w:rPr>
          <w:rStyle w:val="Hervorhebung"/>
        </w:rPr>
        <w:t>special</w:t>
      </w:r>
      <w:proofErr w:type="spellEnd"/>
      <w:r w:rsidRPr="00080C90">
        <w:rPr>
          <w:rStyle w:val="Hervorhebung"/>
        </w:rPr>
        <w:t xml:space="preserve"> </w:t>
      </w:r>
      <w:proofErr w:type="spellStart"/>
      <w:r w:rsidRPr="00080C90">
        <w:rPr>
          <w:rStyle w:val="Hervorhebung"/>
        </w:rPr>
        <w:t>characteristics</w:t>
      </w:r>
      <w:proofErr w:type="spellEnd"/>
      <w:r w:rsidRPr="00080C90">
        <w:rPr>
          <w:rStyle w:val="Hervorhebung"/>
        </w:rPr>
        <w:t xml:space="preserve"> in </w:t>
      </w:r>
      <w:proofErr w:type="spellStart"/>
      <w:r w:rsidRPr="00080C90">
        <w:rPr>
          <w:rStyle w:val="Hervorhebung"/>
        </w:rPr>
        <w:t>the</w:t>
      </w:r>
      <w:proofErr w:type="spellEnd"/>
      <w:r w:rsidRPr="00080C90">
        <w:rPr>
          <w:rStyle w:val="Hervorhebung"/>
        </w:rPr>
        <w:t xml:space="preserve"> form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freedom</w:t>
      </w:r>
      <w:proofErr w:type="spellEnd"/>
      <w:r w:rsidRPr="00080C90">
        <w:rPr>
          <w:rStyle w:val="Hervorhebung"/>
        </w:rPr>
        <w:t xml:space="preserve"> </w:t>
      </w:r>
      <w:proofErr w:type="spellStart"/>
      <w:r w:rsidRPr="00080C90">
        <w:rPr>
          <w:rStyle w:val="Hervorhebung"/>
        </w:rPr>
        <w:t>of</w:t>
      </w:r>
      <w:proofErr w:type="spellEnd"/>
      <w:r w:rsidR="004735C2" w:rsidRPr="00080C90">
        <w:rPr>
          <w:rStyle w:val="Hervorhebung"/>
        </w:rPr>
        <w:t xml:space="preserve"> </w:t>
      </w:r>
      <w:proofErr w:type="spellStart"/>
      <w:r w:rsidR="004735C2" w:rsidRPr="00080C90">
        <w:rPr>
          <w:rStyle w:val="Hervorhebung"/>
        </w:rPr>
        <w:t>movement</w:t>
      </w:r>
      <w:proofErr w:type="spellEnd"/>
      <w:r w:rsidR="004735C2" w:rsidRPr="00080C90">
        <w:rPr>
          <w:rStyle w:val="Hervorhebung"/>
        </w:rPr>
        <w:t xml:space="preserve"> </w:t>
      </w:r>
      <w:proofErr w:type="spellStart"/>
      <w:r w:rsidR="004735C2" w:rsidRPr="00080C90">
        <w:rPr>
          <w:rStyle w:val="Hervorhebung"/>
        </w:rPr>
        <w:t>for</w:t>
      </w:r>
      <w:proofErr w:type="spellEnd"/>
      <w:r w:rsidR="004735C2" w:rsidRPr="00080C90">
        <w:rPr>
          <w:rStyle w:val="Hervorhebung"/>
        </w:rPr>
        <w:t xml:space="preserve"> </w:t>
      </w:r>
      <w:proofErr w:type="spellStart"/>
      <w:r w:rsidR="004735C2" w:rsidRPr="00080C90">
        <w:rPr>
          <w:rStyle w:val="Hervorhebung"/>
        </w:rPr>
        <w:t>workers</w:t>
      </w:r>
      <w:proofErr w:type="spellEnd"/>
      <w:r w:rsidR="004735C2" w:rsidRPr="00080C90">
        <w:rPr>
          <w:rStyle w:val="Hervorhebung"/>
        </w:rPr>
        <w:t xml:space="preserve"> </w:t>
      </w:r>
      <w:proofErr w:type="spellStart"/>
      <w:r w:rsidR="004735C2" w:rsidRPr="00080C90">
        <w:rPr>
          <w:rStyle w:val="Hervorhebung"/>
        </w:rPr>
        <w:t>under</w:t>
      </w:r>
      <w:proofErr w:type="spellEnd"/>
      <w:r w:rsidR="004735C2" w:rsidRPr="00080C90">
        <w:rPr>
          <w:rStyle w:val="Hervorhebung"/>
        </w:rPr>
        <w:t xml:space="preserve"> </w:t>
      </w:r>
      <w:proofErr w:type="spellStart"/>
      <w:r w:rsidR="004735C2" w:rsidRPr="00080C90">
        <w:rPr>
          <w:rStyle w:val="Hervorhebung"/>
        </w:rPr>
        <w:t>Article</w:t>
      </w:r>
      <w:proofErr w:type="spellEnd"/>
      <w:r w:rsidRPr="00080C90">
        <w:rPr>
          <w:rStyle w:val="Hervorhebung"/>
        </w:rPr>
        <w:t xml:space="preserve"> 45 AEUV </w:t>
      </w:r>
      <w:proofErr w:type="spellStart"/>
      <w:r w:rsidRPr="00080C90">
        <w:rPr>
          <w:rStyle w:val="Hervorhebung"/>
        </w:rPr>
        <w:t>and</w:t>
      </w:r>
      <w:proofErr w:type="spellEnd"/>
      <w:r w:rsidRPr="00080C90">
        <w:rPr>
          <w:rStyle w:val="Hervorhebung"/>
        </w:rPr>
        <w:t xml:space="preserve"> </w:t>
      </w:r>
      <w:proofErr w:type="spellStart"/>
      <w:r w:rsidRPr="00080C90">
        <w:rPr>
          <w:rStyle w:val="Hervorhebung"/>
        </w:rPr>
        <w:t>freedom</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estab</w:t>
      </w:r>
      <w:r w:rsidR="004735C2" w:rsidRPr="00080C90">
        <w:rPr>
          <w:rStyle w:val="Hervorhebung"/>
        </w:rPr>
        <w:t>lishment</w:t>
      </w:r>
      <w:proofErr w:type="spellEnd"/>
      <w:r w:rsidR="004735C2" w:rsidRPr="00080C90">
        <w:rPr>
          <w:rStyle w:val="Hervorhebung"/>
        </w:rPr>
        <w:t xml:space="preserve"> in </w:t>
      </w:r>
      <w:proofErr w:type="spellStart"/>
      <w:r w:rsidR="004735C2" w:rsidRPr="00080C90">
        <w:rPr>
          <w:rStyle w:val="Hervorhebung"/>
        </w:rPr>
        <w:t>the</w:t>
      </w:r>
      <w:proofErr w:type="spellEnd"/>
      <w:r w:rsidR="004735C2" w:rsidRPr="00080C90">
        <w:rPr>
          <w:rStyle w:val="Hervorhebung"/>
        </w:rPr>
        <w:t xml:space="preserve"> Union </w:t>
      </w:r>
      <w:proofErr w:type="spellStart"/>
      <w:r w:rsidR="004735C2" w:rsidRPr="00080C90">
        <w:rPr>
          <w:rStyle w:val="Hervorhebung"/>
        </w:rPr>
        <w:t>under</w:t>
      </w:r>
      <w:proofErr w:type="spellEnd"/>
      <w:r w:rsidR="004735C2" w:rsidRPr="00080C90">
        <w:rPr>
          <w:rStyle w:val="Hervorhebung"/>
        </w:rPr>
        <w:t xml:space="preserve"> </w:t>
      </w:r>
      <w:proofErr w:type="spellStart"/>
      <w:r w:rsidR="004735C2" w:rsidRPr="00080C90">
        <w:rPr>
          <w:rStyle w:val="Hervorhebung"/>
        </w:rPr>
        <w:t>Article</w:t>
      </w:r>
      <w:proofErr w:type="spellEnd"/>
      <w:r w:rsidRPr="00080C90">
        <w:rPr>
          <w:rStyle w:val="Hervorhebung"/>
        </w:rPr>
        <w:t xml:space="preserve"> 49 AEUV.</w:t>
      </w:r>
    </w:p>
    <w:p w:rsidR="003352F6" w:rsidRPr="00080C90" w:rsidRDefault="00FB4222" w:rsidP="004E7A0A">
      <w:pPr>
        <w:rPr>
          <w:rStyle w:val="Hervorhebung"/>
          <w:b/>
          <w:u w:val="single"/>
        </w:rPr>
      </w:pPr>
      <w:r w:rsidRPr="00080C90">
        <w:rPr>
          <w:rStyle w:val="Hervorhebung"/>
          <w:b/>
          <w:u w:val="single"/>
        </w:rPr>
        <w:t xml:space="preserve">3. </w:t>
      </w:r>
      <w:r w:rsidR="004735C2" w:rsidRPr="00080C90">
        <w:rPr>
          <w:rStyle w:val="Hervorhebung"/>
          <w:b/>
          <w:u w:val="single"/>
        </w:rPr>
        <w:t xml:space="preserve">passenger </w:t>
      </w:r>
      <w:proofErr w:type="spellStart"/>
      <w:r w:rsidR="004735C2" w:rsidRPr="00080C90">
        <w:rPr>
          <w:rStyle w:val="Hervorhebung"/>
          <w:b/>
          <w:u w:val="single"/>
        </w:rPr>
        <w:t>traffic</w:t>
      </w:r>
      <w:proofErr w:type="spellEnd"/>
      <w:r w:rsidR="00F152A9" w:rsidRPr="00080C90">
        <w:rPr>
          <w:b/>
          <w:i/>
          <w:iCs/>
          <w:u w:val="single"/>
        </w:rPr>
        <w:t xml:space="preserve">   </w:t>
      </w:r>
      <w:r w:rsidR="00F152A9" w:rsidRPr="00080C90">
        <w:rPr>
          <w:b/>
          <w:i/>
          <w:iCs/>
        </w:rPr>
        <w:t xml:space="preserve">   </w:t>
      </w:r>
      <w:r w:rsidR="00F152A9" w:rsidRPr="00080C90">
        <w:rPr>
          <w:noProof/>
          <w:lang w:eastAsia="de-DE"/>
        </w:rPr>
        <w:drawing>
          <wp:inline distT="0" distB="0" distL="0" distR="0" wp14:anchorId="110880DF" wp14:editId="0E44A948">
            <wp:extent cx="990600" cy="828675"/>
            <wp:effectExtent l="0" t="0" r="0" b="9525"/>
            <wp:docPr id="3" name="Bild 5" descr="Bildergebnis für dienstleistungsfreiheit zum europäischen binnenmarkt 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dienstleistungsfreiheit zum europäischen binnenmarkt zeich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p w:rsidR="004735C2" w:rsidRPr="00080C90" w:rsidRDefault="004735C2" w:rsidP="004E7A0A">
      <w:pPr>
        <w:rPr>
          <w:rStyle w:val="Hervorhebung"/>
        </w:rPr>
      </w:pPr>
      <w:r w:rsidRPr="00080C90">
        <w:rPr>
          <w:rStyle w:val="Hervorhebung"/>
        </w:rPr>
        <w:t xml:space="preserve">In </w:t>
      </w:r>
      <w:proofErr w:type="spellStart"/>
      <w:r w:rsidRPr="00080C90">
        <w:rPr>
          <w:rStyle w:val="Hervorhebung"/>
        </w:rPr>
        <w:t>addition</w:t>
      </w:r>
      <w:proofErr w:type="spellEnd"/>
      <w:r w:rsidRPr="00080C90">
        <w:rPr>
          <w:rStyle w:val="Hervorhebung"/>
        </w:rPr>
        <w:t xml:space="preserve"> </w:t>
      </w:r>
      <w:proofErr w:type="spellStart"/>
      <w:r w:rsidRPr="00080C90">
        <w:rPr>
          <w:rStyle w:val="Hervorhebung"/>
        </w:rPr>
        <w:t>to</w:t>
      </w:r>
      <w:proofErr w:type="spellEnd"/>
      <w:r w:rsidRPr="00080C90">
        <w:rPr>
          <w:rStyle w:val="Hervorhebung"/>
        </w:rPr>
        <w:t xml:space="preserve">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general</w:t>
      </w:r>
      <w:proofErr w:type="spellEnd"/>
      <w:r w:rsidRPr="00080C90">
        <w:rPr>
          <w:rStyle w:val="Hervorhebung"/>
        </w:rPr>
        <w:t xml:space="preserve"> </w:t>
      </w:r>
      <w:proofErr w:type="spellStart"/>
      <w:r w:rsidRPr="00080C90">
        <w:rPr>
          <w:rStyle w:val="Hervorhebung"/>
        </w:rPr>
        <w:t>freedom</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movement</w:t>
      </w:r>
      <w:proofErr w:type="spellEnd"/>
      <w:r w:rsidRPr="00080C90">
        <w:rPr>
          <w:rStyle w:val="Hervorhebung"/>
        </w:rPr>
        <w:t xml:space="preserve"> </w:t>
      </w:r>
      <w:proofErr w:type="spellStart"/>
      <w:r w:rsidRPr="00080C90">
        <w:rPr>
          <w:rStyle w:val="Hervorhebung"/>
        </w:rPr>
        <w:t>for</w:t>
      </w:r>
      <w:proofErr w:type="spellEnd"/>
      <w:r w:rsidRPr="00080C90">
        <w:rPr>
          <w:rStyle w:val="Hervorhebung"/>
        </w:rPr>
        <w:t xml:space="preserve"> Union </w:t>
      </w:r>
      <w:proofErr w:type="spellStart"/>
      <w:r w:rsidRPr="00080C90">
        <w:rPr>
          <w:rStyle w:val="Hervorhebung"/>
        </w:rPr>
        <w:t>citizens</w:t>
      </w:r>
      <w:proofErr w:type="spellEnd"/>
      <w:r w:rsidRPr="00080C90">
        <w:rPr>
          <w:rStyle w:val="Hervorhebung"/>
        </w:rPr>
        <w:t xml:space="preserve"> </w:t>
      </w:r>
      <w:proofErr w:type="spellStart"/>
      <w:r w:rsidRPr="00080C90">
        <w:rPr>
          <w:rStyle w:val="Hervorhebung"/>
        </w:rPr>
        <w:t>under</w:t>
      </w:r>
      <w:proofErr w:type="spellEnd"/>
      <w:r w:rsidRPr="00080C90">
        <w:rPr>
          <w:rStyle w:val="Hervorhebung"/>
        </w:rPr>
        <w:t xml:space="preserve"> </w:t>
      </w:r>
      <w:proofErr w:type="spellStart"/>
      <w:r w:rsidRPr="00080C90">
        <w:rPr>
          <w:rStyle w:val="Hervorhebung"/>
        </w:rPr>
        <w:t>Article</w:t>
      </w:r>
      <w:proofErr w:type="spellEnd"/>
      <w:r w:rsidRPr="00080C90">
        <w:rPr>
          <w:rStyle w:val="Hervorhebung"/>
        </w:rPr>
        <w:t xml:space="preserve"> 21 AEUV, </w:t>
      </w:r>
      <w:proofErr w:type="spellStart"/>
      <w:r w:rsidRPr="00080C90">
        <w:rPr>
          <w:rStyle w:val="Hervorhebung"/>
        </w:rPr>
        <w:t>there</w:t>
      </w:r>
      <w:proofErr w:type="spellEnd"/>
      <w:r w:rsidRPr="00080C90">
        <w:rPr>
          <w:rStyle w:val="Hervorhebung"/>
        </w:rPr>
        <w:t xml:space="preserve"> </w:t>
      </w:r>
      <w:proofErr w:type="spellStart"/>
      <w:r w:rsidRPr="00080C90">
        <w:rPr>
          <w:rStyle w:val="Hervorhebung"/>
        </w:rPr>
        <w:t>are</w:t>
      </w:r>
      <w:proofErr w:type="spellEnd"/>
      <w:r w:rsidRPr="00080C90">
        <w:rPr>
          <w:rStyle w:val="Hervorhebung"/>
        </w:rPr>
        <w:t xml:space="preserve"> </w:t>
      </w:r>
      <w:proofErr w:type="spellStart"/>
      <w:r w:rsidRPr="00080C90">
        <w:rPr>
          <w:rStyle w:val="Hervorhebung"/>
        </w:rPr>
        <w:t>specific</w:t>
      </w:r>
      <w:proofErr w:type="spellEnd"/>
      <w:r w:rsidRPr="00080C90">
        <w:rPr>
          <w:rStyle w:val="Hervorhebung"/>
        </w:rPr>
        <w:t xml:space="preserve"> </w:t>
      </w:r>
      <w:proofErr w:type="spellStart"/>
      <w:r w:rsidRPr="00080C90">
        <w:rPr>
          <w:rStyle w:val="Hervorhebung"/>
        </w:rPr>
        <w:t>features</w:t>
      </w:r>
      <w:proofErr w:type="spellEnd"/>
      <w:r w:rsidRPr="00080C90">
        <w:rPr>
          <w:rStyle w:val="Hervorhebung"/>
        </w:rPr>
        <w:t xml:space="preserve"> in </w:t>
      </w:r>
      <w:proofErr w:type="spellStart"/>
      <w:r w:rsidRPr="00080C90">
        <w:rPr>
          <w:rStyle w:val="Hervorhebung"/>
        </w:rPr>
        <w:t>the</w:t>
      </w:r>
      <w:proofErr w:type="spellEnd"/>
      <w:r w:rsidRPr="00080C90">
        <w:rPr>
          <w:rStyle w:val="Hervorhebung"/>
        </w:rPr>
        <w:t xml:space="preserve"> form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freedom</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movement</w:t>
      </w:r>
      <w:proofErr w:type="spellEnd"/>
      <w:r w:rsidRPr="00080C90">
        <w:rPr>
          <w:rStyle w:val="Hervorhebung"/>
        </w:rPr>
        <w:t xml:space="preserve"> </w:t>
      </w:r>
      <w:proofErr w:type="spellStart"/>
      <w:r w:rsidRPr="00080C90">
        <w:rPr>
          <w:rStyle w:val="Hervorhebung"/>
        </w:rPr>
        <w:t>for</w:t>
      </w:r>
      <w:proofErr w:type="spellEnd"/>
      <w:r w:rsidRPr="00080C90">
        <w:rPr>
          <w:rStyle w:val="Hervorhebung"/>
        </w:rPr>
        <w:t xml:space="preserve"> </w:t>
      </w:r>
      <w:proofErr w:type="spellStart"/>
      <w:r w:rsidRPr="00080C90">
        <w:rPr>
          <w:rStyle w:val="Hervorhebung"/>
        </w:rPr>
        <w:t>workers</w:t>
      </w:r>
      <w:proofErr w:type="spellEnd"/>
      <w:r w:rsidRPr="00080C90">
        <w:rPr>
          <w:rStyle w:val="Hervorhebung"/>
        </w:rPr>
        <w:t xml:space="preserve"> in </w:t>
      </w:r>
      <w:proofErr w:type="spellStart"/>
      <w:r w:rsidRPr="00080C90">
        <w:rPr>
          <w:rStyle w:val="Hervorhebung"/>
        </w:rPr>
        <w:t>Article</w:t>
      </w:r>
      <w:proofErr w:type="spellEnd"/>
      <w:r w:rsidRPr="00080C90">
        <w:rPr>
          <w:rStyle w:val="Hervorhebung"/>
        </w:rPr>
        <w:t xml:space="preserve"> 45 AEUV </w:t>
      </w:r>
      <w:proofErr w:type="spellStart"/>
      <w:r w:rsidRPr="00080C90">
        <w:rPr>
          <w:rStyle w:val="Hervorhebung"/>
        </w:rPr>
        <w:t>and</w:t>
      </w:r>
      <w:proofErr w:type="spellEnd"/>
      <w:r w:rsidRPr="00080C90">
        <w:rPr>
          <w:rStyle w:val="Hervorhebung"/>
        </w:rPr>
        <w:t xml:space="preserve">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freedom</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establishment</w:t>
      </w:r>
      <w:proofErr w:type="spellEnd"/>
      <w:r w:rsidRPr="00080C90">
        <w:rPr>
          <w:rStyle w:val="Hervorhebung"/>
        </w:rPr>
        <w:t xml:space="preserve"> in </w:t>
      </w:r>
      <w:proofErr w:type="spellStart"/>
      <w:r w:rsidRPr="00080C90">
        <w:rPr>
          <w:rStyle w:val="Hervorhebung"/>
        </w:rPr>
        <w:t>the</w:t>
      </w:r>
      <w:proofErr w:type="spellEnd"/>
      <w:r w:rsidRPr="00080C90">
        <w:rPr>
          <w:rStyle w:val="Hervorhebung"/>
        </w:rPr>
        <w:t xml:space="preserve"> Union in </w:t>
      </w:r>
      <w:proofErr w:type="spellStart"/>
      <w:r w:rsidRPr="00080C90">
        <w:rPr>
          <w:rStyle w:val="Hervorhebung"/>
        </w:rPr>
        <w:t>Article</w:t>
      </w:r>
      <w:proofErr w:type="spellEnd"/>
      <w:r w:rsidRPr="00080C90">
        <w:rPr>
          <w:rStyle w:val="Hervorhebung"/>
        </w:rPr>
        <w:t xml:space="preserve"> 49 AEUV.</w:t>
      </w:r>
    </w:p>
    <w:p w:rsidR="004735C2" w:rsidRPr="00080C90" w:rsidRDefault="004735C2" w:rsidP="004E7A0A">
      <w:pPr>
        <w:rPr>
          <w:rStyle w:val="Hervorhebung"/>
          <w:b/>
          <w:u w:val="single"/>
        </w:rPr>
      </w:pPr>
    </w:p>
    <w:p w:rsidR="004735C2" w:rsidRPr="00080C90" w:rsidRDefault="00F152A9" w:rsidP="004E7A0A">
      <w:pPr>
        <w:rPr>
          <w:rStyle w:val="Hervorhebung"/>
          <w:b/>
          <w:u w:val="single"/>
        </w:rPr>
      </w:pPr>
      <w:r w:rsidRPr="00080C90">
        <w:rPr>
          <w:rStyle w:val="Hervorhebung"/>
          <w:b/>
          <w:u w:val="single"/>
        </w:rPr>
        <w:t xml:space="preserve">4. </w:t>
      </w:r>
      <w:r w:rsidR="004735C2" w:rsidRPr="00080C90">
        <w:rPr>
          <w:rStyle w:val="Hervorhebung"/>
          <w:b/>
          <w:u w:val="single"/>
        </w:rPr>
        <w:t xml:space="preserve">Free </w:t>
      </w:r>
      <w:proofErr w:type="spellStart"/>
      <w:r w:rsidR="004735C2" w:rsidRPr="00080C90">
        <w:rPr>
          <w:rStyle w:val="Hervorhebung"/>
          <w:b/>
          <w:u w:val="single"/>
        </w:rPr>
        <w:t>capital</w:t>
      </w:r>
      <w:proofErr w:type="spellEnd"/>
      <w:r w:rsidR="004735C2" w:rsidRPr="00080C90">
        <w:rPr>
          <w:rStyle w:val="Hervorhebung"/>
          <w:b/>
          <w:u w:val="single"/>
        </w:rPr>
        <w:t xml:space="preserve"> </w:t>
      </w:r>
      <w:proofErr w:type="spellStart"/>
      <w:r w:rsidR="004735C2" w:rsidRPr="00080C90">
        <w:rPr>
          <w:rStyle w:val="Hervorhebung"/>
          <w:b/>
          <w:u w:val="single"/>
        </w:rPr>
        <w:t>and</w:t>
      </w:r>
      <w:proofErr w:type="spellEnd"/>
      <w:r w:rsidR="004735C2" w:rsidRPr="00080C90">
        <w:rPr>
          <w:rStyle w:val="Hervorhebung"/>
          <w:b/>
          <w:u w:val="single"/>
        </w:rPr>
        <w:t xml:space="preserve"> </w:t>
      </w:r>
      <w:proofErr w:type="spellStart"/>
      <w:r w:rsidR="004735C2" w:rsidRPr="00080C90">
        <w:rPr>
          <w:rStyle w:val="Hervorhebung"/>
          <w:b/>
          <w:u w:val="single"/>
        </w:rPr>
        <w:t>payments</w:t>
      </w:r>
      <w:proofErr w:type="spellEnd"/>
      <w:r w:rsidR="00080C90" w:rsidRPr="00080C90">
        <w:rPr>
          <w:noProof/>
          <w:lang w:eastAsia="de-DE"/>
        </w:rPr>
        <w:t xml:space="preserve">    </w:t>
      </w:r>
      <w:r w:rsidR="00080C90" w:rsidRPr="00080C90">
        <w:rPr>
          <w:noProof/>
          <w:lang w:eastAsia="de-DE"/>
        </w:rPr>
        <w:drawing>
          <wp:inline distT="0" distB="0" distL="0" distR="0" wp14:anchorId="298657C4" wp14:editId="73A4E727">
            <wp:extent cx="533400" cy="533400"/>
            <wp:effectExtent l="0" t="0" r="0" b="0"/>
            <wp:docPr id="4" name="Bild 7" descr="Bildergebnis für freier kapital und zahlungs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freier kapital und zahlungsverkeh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4735C2" w:rsidRPr="00080C90" w:rsidRDefault="004735C2" w:rsidP="004E7A0A">
      <w:pPr>
        <w:rPr>
          <w:rStyle w:val="Hervorhebung"/>
        </w:rPr>
      </w:pPr>
      <w:r w:rsidRPr="00080C90">
        <w:rPr>
          <w:rStyle w:val="Hervorhebung"/>
        </w:rPr>
        <w:t xml:space="preserve">The </w:t>
      </w:r>
      <w:proofErr w:type="spellStart"/>
      <w:r w:rsidRPr="00080C90">
        <w:rPr>
          <w:rStyle w:val="Hervorhebung"/>
        </w:rPr>
        <w:t>free</w:t>
      </w:r>
      <w:proofErr w:type="spellEnd"/>
      <w:r w:rsidRPr="00080C90">
        <w:rPr>
          <w:rStyle w:val="Hervorhebung"/>
        </w:rPr>
        <w:t xml:space="preserve"> </w:t>
      </w:r>
      <w:proofErr w:type="spellStart"/>
      <w:r w:rsidRPr="00080C90">
        <w:rPr>
          <w:rStyle w:val="Hervorhebung"/>
        </w:rPr>
        <w:t>movement</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capital</w:t>
      </w:r>
      <w:proofErr w:type="spellEnd"/>
      <w:r w:rsidRPr="00080C90">
        <w:rPr>
          <w:rStyle w:val="Hervorhebung"/>
        </w:rPr>
        <w:t xml:space="preserve"> </w:t>
      </w:r>
      <w:proofErr w:type="spellStart"/>
      <w:r w:rsidRPr="00080C90">
        <w:rPr>
          <w:rStyle w:val="Hervorhebung"/>
        </w:rPr>
        <w:t>and</w:t>
      </w:r>
      <w:proofErr w:type="spellEnd"/>
      <w:r w:rsidRPr="00080C90">
        <w:rPr>
          <w:rStyle w:val="Hervorhebung"/>
        </w:rPr>
        <w:t xml:space="preserve"> </w:t>
      </w:r>
      <w:proofErr w:type="spellStart"/>
      <w:r w:rsidRPr="00080C90">
        <w:rPr>
          <w:rStyle w:val="Hervorhebung"/>
        </w:rPr>
        <w:t>payments</w:t>
      </w:r>
      <w:proofErr w:type="spellEnd"/>
      <w:r w:rsidRPr="00080C90">
        <w:rPr>
          <w:rStyle w:val="Hervorhebung"/>
        </w:rPr>
        <w:t xml:space="preserve"> </w:t>
      </w:r>
      <w:proofErr w:type="spellStart"/>
      <w:r w:rsidRPr="00080C90">
        <w:rPr>
          <w:rStyle w:val="Hervorhebung"/>
        </w:rPr>
        <w:t>allows</w:t>
      </w:r>
      <w:proofErr w:type="spellEnd"/>
      <w:r w:rsidRPr="00080C90">
        <w:rPr>
          <w:rStyle w:val="Hervorhebung"/>
        </w:rPr>
        <w:t xml:space="preserve">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transfer</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funds</w:t>
      </w:r>
      <w:proofErr w:type="spellEnd"/>
      <w:r w:rsidRPr="00080C90">
        <w:rPr>
          <w:rStyle w:val="Hervorhebung"/>
        </w:rPr>
        <w:t xml:space="preserve"> </w:t>
      </w:r>
      <w:proofErr w:type="spellStart"/>
      <w:r w:rsidRPr="00080C90">
        <w:rPr>
          <w:rStyle w:val="Hervorhebung"/>
        </w:rPr>
        <w:t>and</w:t>
      </w:r>
      <w:proofErr w:type="spellEnd"/>
      <w:r w:rsidRPr="00080C90">
        <w:rPr>
          <w:rStyle w:val="Hervorhebung"/>
        </w:rPr>
        <w:t xml:space="preserve"> </w:t>
      </w:r>
      <w:proofErr w:type="spellStart"/>
      <w:r w:rsidRPr="00080C90">
        <w:rPr>
          <w:rStyle w:val="Hervorhebung"/>
        </w:rPr>
        <w:t>securities</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any</w:t>
      </w:r>
      <w:proofErr w:type="spellEnd"/>
      <w:r w:rsidRPr="00080C90">
        <w:rPr>
          <w:rStyle w:val="Hervorhebung"/>
        </w:rPr>
        <w:t xml:space="preserve"> </w:t>
      </w:r>
      <w:proofErr w:type="spellStart"/>
      <w:r w:rsidRPr="00080C90">
        <w:rPr>
          <w:rStyle w:val="Hervorhebung"/>
        </w:rPr>
        <w:t>amount</w:t>
      </w:r>
      <w:proofErr w:type="spellEnd"/>
      <w:r w:rsidRPr="00080C90">
        <w:rPr>
          <w:rStyle w:val="Hervorhebung"/>
        </w:rPr>
        <w:t xml:space="preserve"> not </w:t>
      </w:r>
      <w:proofErr w:type="spellStart"/>
      <w:r w:rsidRPr="00080C90">
        <w:rPr>
          <w:rStyle w:val="Hervorhebung"/>
        </w:rPr>
        <w:t>only</w:t>
      </w:r>
      <w:proofErr w:type="spellEnd"/>
      <w:r w:rsidRPr="00080C90">
        <w:rPr>
          <w:rStyle w:val="Hervorhebung"/>
        </w:rPr>
        <w:t xml:space="preserve"> </w:t>
      </w:r>
      <w:proofErr w:type="spellStart"/>
      <w:r w:rsidRPr="00080C90">
        <w:rPr>
          <w:rStyle w:val="Hervorhebung"/>
        </w:rPr>
        <w:t>between</w:t>
      </w:r>
      <w:proofErr w:type="spellEnd"/>
      <w:r w:rsidRPr="00080C90">
        <w:rPr>
          <w:rStyle w:val="Hervorhebung"/>
        </w:rPr>
        <w:t xml:space="preserve">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member</w:t>
      </w:r>
      <w:proofErr w:type="spellEnd"/>
      <w:r w:rsidRPr="00080C90">
        <w:rPr>
          <w:rStyle w:val="Hervorhebung"/>
        </w:rPr>
        <w:t xml:space="preserve"> </w:t>
      </w:r>
      <w:proofErr w:type="spellStart"/>
      <w:r w:rsidRPr="00080C90">
        <w:rPr>
          <w:rStyle w:val="Hervorhebung"/>
        </w:rPr>
        <w:t>states</w:t>
      </w:r>
      <w:proofErr w:type="spellEnd"/>
      <w:r w:rsidRPr="00080C90">
        <w:rPr>
          <w:rStyle w:val="Hervorhebung"/>
        </w:rPr>
        <w:t xml:space="preserve">, but also </w:t>
      </w:r>
      <w:proofErr w:type="spellStart"/>
      <w:r w:rsidRPr="00080C90">
        <w:rPr>
          <w:rStyle w:val="Hervorhebung"/>
        </w:rPr>
        <w:t>between</w:t>
      </w:r>
      <w:proofErr w:type="spellEnd"/>
      <w:r w:rsidRPr="00080C90">
        <w:rPr>
          <w:rStyle w:val="Hervorhebung"/>
        </w:rPr>
        <w:t xml:space="preserve"> </w:t>
      </w:r>
      <w:proofErr w:type="spellStart"/>
      <w:r w:rsidRPr="00080C90">
        <w:rPr>
          <w:rStyle w:val="Hervorhebung"/>
        </w:rPr>
        <w:t>member</w:t>
      </w:r>
      <w:proofErr w:type="spellEnd"/>
      <w:r w:rsidRPr="00080C90">
        <w:rPr>
          <w:rStyle w:val="Hervorhebung"/>
        </w:rPr>
        <w:t xml:space="preserve"> </w:t>
      </w:r>
      <w:proofErr w:type="spellStart"/>
      <w:r w:rsidRPr="00080C90">
        <w:rPr>
          <w:rStyle w:val="Hervorhebung"/>
        </w:rPr>
        <w:t>states</w:t>
      </w:r>
      <w:proofErr w:type="spellEnd"/>
      <w:r w:rsidRPr="00080C90">
        <w:rPr>
          <w:rStyle w:val="Hervorhebung"/>
        </w:rPr>
        <w:t xml:space="preserve"> </w:t>
      </w:r>
      <w:proofErr w:type="spellStart"/>
      <w:r w:rsidRPr="00080C90">
        <w:rPr>
          <w:rStyle w:val="Hervorhebung"/>
        </w:rPr>
        <w:t>and</w:t>
      </w:r>
      <w:proofErr w:type="spellEnd"/>
      <w:r w:rsidRPr="00080C90">
        <w:rPr>
          <w:rStyle w:val="Hervorhebung"/>
        </w:rPr>
        <w:t xml:space="preserve"> </w:t>
      </w:r>
      <w:proofErr w:type="spellStart"/>
      <w:r w:rsidRPr="00080C90">
        <w:rPr>
          <w:rStyle w:val="Hervorhebung"/>
        </w:rPr>
        <w:t>third</w:t>
      </w:r>
      <w:proofErr w:type="spellEnd"/>
      <w:r w:rsidRPr="00080C90">
        <w:rPr>
          <w:rStyle w:val="Hervorhebung"/>
        </w:rPr>
        <w:t xml:space="preserve"> countries (</w:t>
      </w:r>
      <w:proofErr w:type="spellStart"/>
      <w:r w:rsidRPr="00080C90">
        <w:rPr>
          <w:rStyle w:val="Hervorhebung"/>
        </w:rPr>
        <w:t>Article</w:t>
      </w:r>
      <w:proofErr w:type="spellEnd"/>
      <w:r w:rsidRPr="00080C90">
        <w:rPr>
          <w:rStyle w:val="Hervorhebung"/>
        </w:rPr>
        <w:t xml:space="preserve"> 63 TFEU). A </w:t>
      </w:r>
      <w:proofErr w:type="spellStart"/>
      <w:r w:rsidRPr="00080C90">
        <w:rPr>
          <w:rStyle w:val="Hervorhebung"/>
        </w:rPr>
        <w:t>special</w:t>
      </w:r>
      <w:proofErr w:type="spellEnd"/>
      <w:r w:rsidRPr="00080C90">
        <w:rPr>
          <w:rStyle w:val="Hervorhebung"/>
        </w:rPr>
        <w:t xml:space="preserve"> </w:t>
      </w:r>
      <w:proofErr w:type="spellStart"/>
      <w:r w:rsidRPr="00080C90">
        <w:rPr>
          <w:rStyle w:val="Hervorhebung"/>
        </w:rPr>
        <w:t>feature</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this</w:t>
      </w:r>
      <w:proofErr w:type="spellEnd"/>
      <w:r w:rsidRPr="00080C90">
        <w:rPr>
          <w:rStyle w:val="Hervorhebung"/>
        </w:rPr>
        <w:t xml:space="preserve"> fundamental </w:t>
      </w:r>
      <w:proofErr w:type="spellStart"/>
      <w:r w:rsidRPr="00080C90">
        <w:rPr>
          <w:rStyle w:val="Hervorhebung"/>
        </w:rPr>
        <w:t>freedom</w:t>
      </w:r>
      <w:proofErr w:type="spellEnd"/>
      <w:r w:rsidRPr="00080C90">
        <w:rPr>
          <w:rStyle w:val="Hervorhebung"/>
        </w:rPr>
        <w:t xml:space="preserve"> </w:t>
      </w:r>
      <w:proofErr w:type="spellStart"/>
      <w:r w:rsidRPr="00080C90">
        <w:rPr>
          <w:rStyle w:val="Hervorhebung"/>
        </w:rPr>
        <w:t>is</w:t>
      </w:r>
      <w:proofErr w:type="spellEnd"/>
      <w:r w:rsidRPr="00080C90">
        <w:rPr>
          <w:rStyle w:val="Hervorhebung"/>
        </w:rPr>
        <w:t xml:space="preserve"> </w:t>
      </w:r>
      <w:proofErr w:type="spellStart"/>
      <w:r w:rsidRPr="00080C90">
        <w:rPr>
          <w:rStyle w:val="Hervorhebung"/>
        </w:rPr>
        <w:t>that</w:t>
      </w:r>
      <w:proofErr w:type="spellEnd"/>
      <w:r w:rsidRPr="00080C90">
        <w:rPr>
          <w:rStyle w:val="Hervorhebung"/>
        </w:rPr>
        <w:t xml:space="preserve"> </w:t>
      </w:r>
      <w:proofErr w:type="spellStart"/>
      <w:r w:rsidRPr="00080C90">
        <w:rPr>
          <w:rStyle w:val="Hervorhebung"/>
        </w:rPr>
        <w:t>it</w:t>
      </w:r>
      <w:proofErr w:type="spellEnd"/>
      <w:r w:rsidRPr="00080C90">
        <w:rPr>
          <w:rStyle w:val="Hervorhebung"/>
        </w:rPr>
        <w:t xml:space="preserve"> also </w:t>
      </w:r>
      <w:proofErr w:type="spellStart"/>
      <w:r w:rsidRPr="00080C90">
        <w:rPr>
          <w:rStyle w:val="Hervorhebung"/>
        </w:rPr>
        <w:t>applies</w:t>
      </w:r>
      <w:proofErr w:type="spellEnd"/>
      <w:r w:rsidRPr="00080C90">
        <w:rPr>
          <w:rStyle w:val="Hervorhebung"/>
        </w:rPr>
        <w:t xml:space="preserve"> </w:t>
      </w:r>
      <w:proofErr w:type="spellStart"/>
      <w:r w:rsidRPr="00080C90">
        <w:rPr>
          <w:rStyle w:val="Hervorhebung"/>
        </w:rPr>
        <w:t>to</w:t>
      </w:r>
      <w:proofErr w:type="spellEnd"/>
      <w:r w:rsidRPr="00080C90">
        <w:rPr>
          <w:rStyle w:val="Hervorhebung"/>
        </w:rPr>
        <w:t xml:space="preserve"> </w:t>
      </w:r>
      <w:proofErr w:type="spellStart"/>
      <w:r w:rsidRPr="00080C90">
        <w:rPr>
          <w:rStyle w:val="Hervorhebung"/>
        </w:rPr>
        <w:t>third</w:t>
      </w:r>
      <w:proofErr w:type="spellEnd"/>
      <w:r w:rsidRPr="00080C90">
        <w:rPr>
          <w:rStyle w:val="Hervorhebung"/>
        </w:rPr>
        <w:t xml:space="preserve">-country </w:t>
      </w:r>
      <w:proofErr w:type="spellStart"/>
      <w:r w:rsidRPr="00080C90">
        <w:rPr>
          <w:rStyle w:val="Hervorhebung"/>
        </w:rPr>
        <w:t>nationals</w:t>
      </w:r>
      <w:proofErr w:type="spellEnd"/>
      <w:r w:rsidRPr="00080C90">
        <w:rPr>
          <w:rStyle w:val="Hervorhebung"/>
        </w:rPr>
        <w:t xml:space="preserve"> in </w:t>
      </w:r>
      <w:proofErr w:type="spellStart"/>
      <w:r w:rsidRPr="00080C90">
        <w:rPr>
          <w:rStyle w:val="Hervorhebung"/>
        </w:rPr>
        <w:t>principle</w:t>
      </w:r>
      <w:proofErr w:type="spellEnd"/>
      <w:r w:rsidRPr="00080C90">
        <w:rPr>
          <w:rStyle w:val="Hervorhebung"/>
        </w:rPr>
        <w:t xml:space="preserve">, </w:t>
      </w:r>
      <w:proofErr w:type="spellStart"/>
      <w:r w:rsidRPr="00080C90">
        <w:rPr>
          <w:rStyle w:val="Hervorhebung"/>
        </w:rPr>
        <w:t>although</w:t>
      </w:r>
      <w:proofErr w:type="spellEnd"/>
      <w:r w:rsidRPr="00080C90">
        <w:rPr>
          <w:rStyle w:val="Hervorhebung"/>
        </w:rPr>
        <w:t xml:space="preserve"> </w:t>
      </w:r>
      <w:proofErr w:type="spellStart"/>
      <w:r w:rsidRPr="00080C90">
        <w:rPr>
          <w:rStyle w:val="Hervorhebung"/>
        </w:rPr>
        <w:t>restrictions</w:t>
      </w:r>
      <w:proofErr w:type="spellEnd"/>
      <w:r w:rsidRPr="00080C90">
        <w:rPr>
          <w:rStyle w:val="Hervorhebung"/>
        </w:rPr>
        <w:t xml:space="preserve"> </w:t>
      </w:r>
      <w:proofErr w:type="spellStart"/>
      <w:r w:rsidRPr="00080C90">
        <w:rPr>
          <w:rStyle w:val="Hervorhebung"/>
        </w:rPr>
        <w:t>are</w:t>
      </w:r>
      <w:proofErr w:type="spellEnd"/>
      <w:r w:rsidRPr="00080C90">
        <w:rPr>
          <w:rStyle w:val="Hervorhebung"/>
        </w:rPr>
        <w:t xml:space="preserve"> </w:t>
      </w:r>
      <w:proofErr w:type="spellStart"/>
      <w:r w:rsidRPr="00080C90">
        <w:rPr>
          <w:rStyle w:val="Hervorhebung"/>
        </w:rPr>
        <w:t>possible</w:t>
      </w:r>
      <w:proofErr w:type="spellEnd"/>
      <w:r w:rsidRPr="00080C90">
        <w:rPr>
          <w:rStyle w:val="Hervorhebung"/>
        </w:rPr>
        <w:t xml:space="preserve">. The </w:t>
      </w:r>
      <w:proofErr w:type="spellStart"/>
      <w:r w:rsidRPr="00080C90">
        <w:rPr>
          <w:rStyle w:val="Hervorhebung"/>
        </w:rPr>
        <w:t>free</w:t>
      </w:r>
      <w:proofErr w:type="spellEnd"/>
      <w:r w:rsidRPr="00080C90">
        <w:rPr>
          <w:rStyle w:val="Hervorhebung"/>
        </w:rPr>
        <w:t xml:space="preserve"> </w:t>
      </w:r>
      <w:proofErr w:type="spellStart"/>
      <w:r w:rsidRPr="00080C90">
        <w:rPr>
          <w:rStyle w:val="Hervorhebung"/>
        </w:rPr>
        <w:t>movement</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w:t>
      </w:r>
      <w:proofErr w:type="spellStart"/>
      <w:r w:rsidRPr="00080C90">
        <w:rPr>
          <w:rStyle w:val="Hervorhebung"/>
        </w:rPr>
        <w:t>capital</w:t>
      </w:r>
      <w:proofErr w:type="spellEnd"/>
      <w:r w:rsidRPr="00080C90">
        <w:rPr>
          <w:rStyle w:val="Hervorhebung"/>
        </w:rPr>
        <w:t xml:space="preserve"> </w:t>
      </w:r>
      <w:proofErr w:type="spellStart"/>
      <w:r w:rsidRPr="00080C90">
        <w:rPr>
          <w:rStyle w:val="Hervorhebung"/>
        </w:rPr>
        <w:t>should</w:t>
      </w:r>
      <w:proofErr w:type="spellEnd"/>
      <w:r w:rsidRPr="00080C90">
        <w:rPr>
          <w:rStyle w:val="Hervorhebung"/>
        </w:rPr>
        <w:t xml:space="preserve"> </w:t>
      </w:r>
      <w:proofErr w:type="spellStart"/>
      <w:r w:rsidRPr="00080C90">
        <w:rPr>
          <w:rStyle w:val="Hervorhebung"/>
        </w:rPr>
        <w:t>be</w:t>
      </w:r>
      <w:proofErr w:type="spellEnd"/>
      <w:r w:rsidRPr="00080C90">
        <w:rPr>
          <w:rStyle w:val="Hervorhebung"/>
        </w:rPr>
        <w:t xml:space="preserve"> </w:t>
      </w:r>
      <w:proofErr w:type="spellStart"/>
      <w:r w:rsidRPr="00080C90">
        <w:rPr>
          <w:rStyle w:val="Hervorhebung"/>
        </w:rPr>
        <w:t>deepened</w:t>
      </w:r>
      <w:proofErr w:type="spellEnd"/>
      <w:r w:rsidRPr="00080C90">
        <w:rPr>
          <w:rStyle w:val="Hervorhebung"/>
        </w:rPr>
        <w:t xml:space="preserve"> </w:t>
      </w:r>
      <w:proofErr w:type="spellStart"/>
      <w:r w:rsidRPr="00080C90">
        <w:rPr>
          <w:rStyle w:val="Hervorhebung"/>
        </w:rPr>
        <w:t>by</w:t>
      </w:r>
      <w:proofErr w:type="spellEnd"/>
      <w:r w:rsidRPr="00080C90">
        <w:rPr>
          <w:rStyle w:val="Hervorhebung"/>
        </w:rPr>
        <w:t xml:space="preserve"> 2019 in </w:t>
      </w:r>
      <w:proofErr w:type="spellStart"/>
      <w:r w:rsidRPr="00080C90">
        <w:rPr>
          <w:rStyle w:val="Hervorhebung"/>
        </w:rPr>
        <w:t>the</w:t>
      </w:r>
      <w:proofErr w:type="spellEnd"/>
      <w:r w:rsidRPr="00080C90">
        <w:rPr>
          <w:rStyle w:val="Hervorhebung"/>
        </w:rPr>
        <w:t xml:space="preserve"> </w:t>
      </w:r>
      <w:proofErr w:type="spellStart"/>
      <w:r w:rsidRPr="00080C90">
        <w:rPr>
          <w:rStyle w:val="Hervorhebung"/>
        </w:rPr>
        <w:t>broad</w:t>
      </w:r>
      <w:proofErr w:type="spellEnd"/>
      <w:r w:rsidRPr="00080C90">
        <w:rPr>
          <w:rStyle w:val="Hervorhebung"/>
        </w:rPr>
        <w:t xml:space="preserve"> </w:t>
      </w:r>
      <w:proofErr w:type="spellStart"/>
      <w:r w:rsidRPr="00080C90">
        <w:rPr>
          <w:rStyle w:val="Hervorhebung"/>
        </w:rPr>
        <w:t>outlines</w:t>
      </w:r>
      <w:proofErr w:type="spellEnd"/>
      <w:r w:rsidRPr="00080C90">
        <w:rPr>
          <w:rStyle w:val="Hervorhebung"/>
        </w:rPr>
        <w:t xml:space="preserve"> </w:t>
      </w:r>
      <w:proofErr w:type="spellStart"/>
      <w:r w:rsidRPr="00080C90">
        <w:rPr>
          <w:rStyle w:val="Hervorhebung"/>
        </w:rPr>
        <w:t>of</w:t>
      </w:r>
      <w:proofErr w:type="spellEnd"/>
      <w:r w:rsidRPr="00080C90">
        <w:rPr>
          <w:rStyle w:val="Hervorhebung"/>
        </w:rPr>
        <w:t xml:space="preserve"> a Capital </w:t>
      </w:r>
      <w:proofErr w:type="spellStart"/>
      <w:r w:rsidRPr="00080C90">
        <w:rPr>
          <w:rStyle w:val="Hervorhebung"/>
        </w:rPr>
        <w:t>Markets</w:t>
      </w:r>
      <w:proofErr w:type="spellEnd"/>
      <w:r w:rsidRPr="00080C90">
        <w:rPr>
          <w:rStyle w:val="Hervorhebung"/>
        </w:rPr>
        <w:t xml:space="preserve"> Union.</w:t>
      </w:r>
    </w:p>
    <w:sectPr w:rsidR="004735C2" w:rsidRPr="00080C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8F"/>
    <w:rsid w:val="00080C90"/>
    <w:rsid w:val="00322681"/>
    <w:rsid w:val="003352F6"/>
    <w:rsid w:val="00443D87"/>
    <w:rsid w:val="004735C2"/>
    <w:rsid w:val="004E7A0A"/>
    <w:rsid w:val="0050658F"/>
    <w:rsid w:val="00577BE4"/>
    <w:rsid w:val="00996F30"/>
    <w:rsid w:val="00F152A9"/>
    <w:rsid w:val="00FB4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B925"/>
  <w15:chartTrackingRefBased/>
  <w15:docId w15:val="{8703896E-28BA-440A-A87E-E2D15542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0658F"/>
    <w:rPr>
      <w:i/>
      <w:iCs/>
    </w:rPr>
  </w:style>
  <w:style w:type="character" w:styleId="Hyperlink">
    <w:name w:val="Hyperlink"/>
    <w:basedOn w:val="Absatz-Standardschriftart"/>
    <w:uiPriority w:val="99"/>
    <w:semiHidden/>
    <w:unhideWhenUsed/>
    <w:rsid w:val="0050658F"/>
    <w:rPr>
      <w:color w:val="0000FF"/>
      <w:u w:val="single"/>
    </w:rPr>
  </w:style>
  <w:style w:type="character" w:customStyle="1" w:styleId="plainlinks-print">
    <w:name w:val="plainlinks-print"/>
    <w:basedOn w:val="Absatz-Standardschriftart"/>
    <w:rsid w:val="0050658F"/>
  </w:style>
  <w:style w:type="paragraph" w:styleId="StandardWeb">
    <w:name w:val="Normal (Web)"/>
    <w:basedOn w:val="Standard"/>
    <w:uiPriority w:val="99"/>
    <w:semiHidden/>
    <w:unhideWhenUsed/>
    <w:rsid w:val="005065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l">
    <w:name w:val="hl"/>
    <w:basedOn w:val="Absatz-Standardschriftart"/>
    <w:rsid w:val="0032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090">
      <w:bodyDiv w:val="1"/>
      <w:marLeft w:val="0"/>
      <w:marRight w:val="0"/>
      <w:marTop w:val="0"/>
      <w:marBottom w:val="0"/>
      <w:divBdr>
        <w:top w:val="none" w:sz="0" w:space="0" w:color="auto"/>
        <w:left w:val="none" w:sz="0" w:space="0" w:color="auto"/>
        <w:bottom w:val="none" w:sz="0" w:space="0" w:color="auto"/>
        <w:right w:val="none" w:sz="0" w:space="0" w:color="auto"/>
      </w:divBdr>
    </w:div>
    <w:div w:id="109980238">
      <w:bodyDiv w:val="1"/>
      <w:marLeft w:val="0"/>
      <w:marRight w:val="0"/>
      <w:marTop w:val="0"/>
      <w:marBottom w:val="0"/>
      <w:divBdr>
        <w:top w:val="none" w:sz="0" w:space="0" w:color="auto"/>
        <w:left w:val="none" w:sz="0" w:space="0" w:color="auto"/>
        <w:bottom w:val="none" w:sz="0" w:space="0" w:color="auto"/>
        <w:right w:val="none" w:sz="0" w:space="0" w:color="auto"/>
      </w:divBdr>
    </w:div>
    <w:div w:id="872233544">
      <w:bodyDiv w:val="1"/>
      <w:marLeft w:val="0"/>
      <w:marRight w:val="0"/>
      <w:marTop w:val="0"/>
      <w:marBottom w:val="0"/>
      <w:divBdr>
        <w:top w:val="none" w:sz="0" w:space="0" w:color="auto"/>
        <w:left w:val="none" w:sz="0" w:space="0" w:color="auto"/>
        <w:bottom w:val="none" w:sz="0" w:space="0" w:color="auto"/>
        <w:right w:val="none" w:sz="0" w:space="0" w:color="auto"/>
      </w:divBdr>
    </w:div>
    <w:div w:id="1570533322">
      <w:bodyDiv w:val="1"/>
      <w:marLeft w:val="0"/>
      <w:marRight w:val="0"/>
      <w:marTop w:val="0"/>
      <w:marBottom w:val="0"/>
      <w:divBdr>
        <w:top w:val="none" w:sz="0" w:space="0" w:color="auto"/>
        <w:left w:val="none" w:sz="0" w:space="0" w:color="auto"/>
        <w:bottom w:val="none" w:sz="0" w:space="0" w:color="auto"/>
        <w:right w:val="none" w:sz="0" w:space="0" w:color="auto"/>
      </w:divBdr>
    </w:div>
    <w:div w:id="1686713247">
      <w:bodyDiv w:val="1"/>
      <w:marLeft w:val="0"/>
      <w:marRight w:val="0"/>
      <w:marTop w:val="0"/>
      <w:marBottom w:val="0"/>
      <w:divBdr>
        <w:top w:val="none" w:sz="0" w:space="0" w:color="auto"/>
        <w:left w:val="none" w:sz="0" w:space="0" w:color="auto"/>
        <w:bottom w:val="none" w:sz="0" w:space="0" w:color="auto"/>
        <w:right w:val="none" w:sz="0" w:space="0" w:color="auto"/>
      </w:divBdr>
    </w:div>
    <w:div w:id="18299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AEU/30.html" TargetMode="External"/><Relationship Id="rId13" Type="http://schemas.openxmlformats.org/officeDocument/2006/relationships/hyperlink" Target="https://de.wikipedia.org/wiki/Arbeitnehmerfreiz%C3%BCgigkeit" TargetMode="External"/><Relationship Id="rId18" Type="http://schemas.openxmlformats.org/officeDocument/2006/relationships/hyperlink" Target="https://dejure.org/gesetze/AEU/56.html"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dejure.org/gesetze/AEU/28.html" TargetMode="External"/><Relationship Id="rId12" Type="http://schemas.openxmlformats.org/officeDocument/2006/relationships/hyperlink" Target="https://dejure.org/gesetze/AEU/21.html" TargetMode="External"/><Relationship Id="rId17" Type="http://schemas.openxmlformats.org/officeDocument/2006/relationships/hyperlink" Target="https://de.wikipedia.org/wiki/Dienstleistung" TargetMode="External"/><Relationship Id="rId2" Type="http://schemas.openxmlformats.org/officeDocument/2006/relationships/styles" Target="styles.xml"/><Relationship Id="rId16" Type="http://schemas.openxmlformats.org/officeDocument/2006/relationships/hyperlink" Target="https://dejure.org/gesetze/AEU/49.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de.wikipedia.org/wiki/Vertrag_%C3%BCber_die_Arbeitsweise_der_Europ%C3%A4ischen_Union" TargetMode="External"/><Relationship Id="rId11" Type="http://schemas.openxmlformats.org/officeDocument/2006/relationships/hyperlink" Target="https://de.wikipedia.org/wiki/Unionsb%C3%BCrgerschaft" TargetMode="External"/><Relationship Id="rId24" Type="http://schemas.openxmlformats.org/officeDocument/2006/relationships/theme" Target="theme/theme1.xml"/><Relationship Id="rId5" Type="http://schemas.openxmlformats.org/officeDocument/2006/relationships/hyperlink" Target="https://de.wikipedia.org/wiki/Europ%C3%A4ische_Union" TargetMode="External"/><Relationship Id="rId15" Type="http://schemas.openxmlformats.org/officeDocument/2006/relationships/hyperlink" Target="https://de.wikipedia.org/wiki/Niederlassungsfreiheit" TargetMode="External"/><Relationship Id="rId23" Type="http://schemas.openxmlformats.org/officeDocument/2006/relationships/fontTable" Target="fontTable.xml"/><Relationship Id="rId10" Type="http://schemas.openxmlformats.org/officeDocument/2006/relationships/hyperlink" Target="https://dejure.org/gesetze/AEU/35.htm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ejure.org/gesetze/AEU/34.html" TargetMode="External"/><Relationship Id="rId14" Type="http://schemas.openxmlformats.org/officeDocument/2006/relationships/hyperlink" Target="https://dejure.org/gesetze/AEU/45.html" TargetMode="External"/><Relationship Id="rId22"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E647-A331-4B7D-A9A6-87AD336D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RSPlus Kurfürst Balduin</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Lea (BeckLea26)</dc:creator>
  <cp:keywords/>
  <dc:description/>
  <cp:lastModifiedBy>Becker, Lea (BeckLea26)</cp:lastModifiedBy>
  <cp:revision>2</cp:revision>
  <dcterms:created xsi:type="dcterms:W3CDTF">2019-11-15T09:52:00Z</dcterms:created>
  <dcterms:modified xsi:type="dcterms:W3CDTF">2019-11-15T09:52:00Z</dcterms:modified>
</cp:coreProperties>
</file>