
<file path=[Content_Types].xml><?xml version="1.0" encoding="utf-8"?>
<Types xmlns="http://schemas.openxmlformats.org/package/2006/content-types">
  <Override PartName="/word/media/image2.png" ContentType="image/png"/>
  <Override PartName="/word/media/image3.png" ContentType="image/png"/>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lang w:val="fr-FR"/>
        </w:rPr>
        <w:t>“</w:t>
      </w:r>
      <w:r>
        <w:rPr>
          <w:b/>
          <w:lang w:val="fr-FR"/>
        </w:rPr>
        <w:t>Se mettre dans la peau d’un réfugié »</w:t>
      </w:r>
    </w:p>
    <w:p>
      <w:pPr>
        <w:pStyle w:val="style26"/>
        <w:numPr>
          <w:ilvl w:val="0"/>
          <w:numId w:val="2"/>
        </w:numPr>
        <w:spacing w:after="0" w:before="0" w:line="100" w:lineRule="atLeast"/>
      </w:pPr>
      <w:r>
        <w:rPr>
          <w:shd w:fill="FFFF00"/>
          <w:lang w:val="fr-FR"/>
        </w:rPr>
        <w:t xml:space="preserve">Objectif : </w:t>
      </w:r>
      <w:r>
        <w:rPr>
          <w:iCs/>
          <w:rFonts w:cs="MyriadPro-It"/>
          <w:lang w:val="fr-FR"/>
        </w:rPr>
        <w:t>démontrer une compréhension de la situation des exilés et des réfugiés en s’imaginant des situations semblables.</w:t>
      </w:r>
    </w:p>
    <w:p>
      <w:pPr>
        <w:pStyle w:val="style26"/>
        <w:spacing w:after="0" w:before="0" w:line="100" w:lineRule="atLeast"/>
      </w:pPr>
      <w:r>
        <w:rPr>
          <w:iCs/>
          <w:rFonts w:cs="MyriadPro-It"/>
          <w:lang w:val="fr-FR"/>
        </w:rPr>
      </w:r>
    </w:p>
    <w:p>
      <w:pPr>
        <w:pStyle w:val="style26"/>
        <w:numPr>
          <w:ilvl w:val="0"/>
          <w:numId w:val="2"/>
        </w:numPr>
        <w:spacing w:after="0" w:before="0" w:line="100" w:lineRule="atLeast"/>
      </w:pPr>
      <w:r>
        <w:rPr>
          <w:iCs/>
          <w:rFonts w:cs="MyriadPro-It"/>
          <w:lang w:val="fr-FR"/>
        </w:rPr>
        <w:t>Développement (par groupes de 2-3 élèves).</w:t>
      </w:r>
    </w:p>
    <w:p>
      <w:pPr>
        <w:pStyle w:val="style26"/>
        <w:numPr>
          <w:ilvl w:val="1"/>
          <w:numId w:val="2"/>
        </w:numPr>
        <w:spacing w:after="0" w:before="0" w:line="100" w:lineRule="atLeast"/>
      </w:pPr>
      <w:r>
        <w:rPr>
          <w:iCs/>
          <w:rFonts w:cs="MyriadPro-It"/>
          <w:lang w:val="fr-FR"/>
        </w:rPr>
        <w:t>Phase 1 : se plonger dans le sujet. Recherches par groupes de 2-3 élèves dans les sites proposés ou, en général, dans la toile.</w:t>
      </w:r>
    </w:p>
    <w:p>
      <w:pPr>
        <w:pStyle w:val="style26"/>
        <w:numPr>
          <w:ilvl w:val="1"/>
          <w:numId w:val="2"/>
        </w:numPr>
        <w:spacing w:after="0" w:before="0" w:line="100" w:lineRule="atLeast"/>
      </w:pPr>
      <w:r>
        <w:rPr>
          <w:iCs/>
          <w:rFonts w:cs="MyriadPro-It"/>
          <w:lang w:val="fr-FR"/>
        </w:rPr>
        <w:t>Phase 2 : télécharger la jeu vidéo « envers et contre tout » pour «devenir un réfugié ».</w:t>
      </w:r>
    </w:p>
    <w:p>
      <w:pPr>
        <w:pStyle w:val="style26"/>
        <w:numPr>
          <w:ilvl w:val="1"/>
          <w:numId w:val="2"/>
        </w:numPr>
        <w:spacing w:after="0" w:before="0" w:line="100" w:lineRule="atLeast"/>
      </w:pPr>
      <w:r>
        <w:rPr>
          <w:iCs/>
          <w:rFonts w:cs="MyriadPro-It"/>
          <w:lang w:val="fr-FR"/>
        </w:rPr>
        <w:t>Phase 3 : étude d’un cas. Choisir un réfugié réel et raconter son histoire en première personne. À partir de plusieurs images réelles raconter son histoire dans un enregistrement audio.</w:t>
      </w:r>
    </w:p>
    <w:p>
      <w:pPr>
        <w:pStyle w:val="style26"/>
        <w:numPr>
          <w:ilvl w:val="1"/>
          <w:numId w:val="2"/>
        </w:numPr>
        <w:spacing w:after="0" w:before="0" w:line="100" w:lineRule="atLeast"/>
      </w:pPr>
      <w:r>
        <w:rPr>
          <w:iCs/>
          <w:rFonts w:cs="MyriadPro-It"/>
          <w:lang w:val="fr-FR"/>
        </w:rPr>
        <w:t>Phase 4 : mise en commun des expériences.</w:t>
      </w:r>
    </w:p>
    <w:p>
      <w:pPr>
        <w:pStyle w:val="style26"/>
        <w:spacing w:after="0" w:before="0" w:line="100" w:lineRule="atLeast"/>
      </w:pPr>
      <w:r>
        <w:rPr>
          <w:iCs/>
          <w:rFonts w:cs="MyriadPro-It"/>
          <w:lang w:val="fr-FR"/>
        </w:rPr>
      </w:r>
    </w:p>
    <w:p>
      <w:pPr>
        <w:pStyle w:val="style0"/>
        <w:spacing w:after="0" w:before="0" w:line="100" w:lineRule="atLeast"/>
      </w:pPr>
      <w:r>
        <w:rPr>
          <w:iCs/>
          <w:rFonts w:cs="MyriadPro-It"/>
          <w:lang w:val="fr-FR"/>
        </w:rPr>
      </w:r>
    </w:p>
    <w:p>
      <w:pPr>
        <w:pStyle w:val="style26"/>
        <w:numPr>
          <w:ilvl w:val="0"/>
          <w:numId w:val="2"/>
        </w:numPr>
      </w:pPr>
      <w:r>
        <w:rPr>
          <w:lang w:val="fr-FR"/>
        </w:rPr>
        <w:t>Point de départ : définir un réfugié .</w:t>
      </w:r>
    </w:p>
    <w:p>
      <w:pPr>
        <w:pStyle w:val="style26"/>
      </w:pPr>
      <w:r>
        <w:rPr>
          <w:color w:val="000000"/>
          <w:sz w:val="21"/>
          <w:szCs w:val="21"/>
          <w:rFonts w:ascii="Georgia" w:hAnsi="Georgia"/>
          <w:lang w:val="fr-FR"/>
        </w:rPr>
        <w:t>La Convention de Genève du 28 juillet 1951 définit le réfugié comme étant la personne qui craint "</w:t>
      </w:r>
      <w:r>
        <w:rPr>
          <w:color w:val="000000"/>
          <w:sz w:val="21"/>
          <w:szCs w:val="21"/>
          <w:rFonts w:ascii="Georgia" w:hAnsi="Georgia"/>
          <w:lang w:val="fr-FR"/>
        </w:rPr>
        <w:t>avec raison d’être persécutée du fait de sa race, de sa religion, de sa nationalité, de son appartenance à un certain groupe social ou de ses opinions politiques</w:t>
      </w:r>
      <w:r>
        <w:rPr>
          <w:color w:val="000000"/>
          <w:sz w:val="21"/>
          <w:szCs w:val="21"/>
          <w:rFonts w:ascii="Georgia" w:hAnsi="Georgia"/>
          <w:lang w:val="fr-FR"/>
        </w:rPr>
        <w:t>" en cas de retour dans son pays.</w:t>
      </w:r>
    </w:p>
    <w:p>
      <w:pPr>
        <w:pStyle w:val="style26"/>
        <w:numPr>
          <w:ilvl w:val="0"/>
          <w:numId w:val="1"/>
        </w:numPr>
      </w:pPr>
      <w:r>
        <w:rPr>
          <w:color w:val="000000"/>
          <w:sz w:val="21"/>
          <w:szCs w:val="21"/>
          <w:rFonts w:ascii="Georgia" w:hAnsi="Georgia"/>
          <w:lang w:val="fr-FR"/>
        </w:rPr>
        <w:t>Mots clé :</w:t>
      </w:r>
    </w:p>
    <w:p>
      <w:pPr>
        <w:pStyle w:val="style26"/>
        <w:numPr>
          <w:ilvl w:val="1"/>
          <w:numId w:val="1"/>
        </w:numPr>
      </w:pPr>
      <w:r>
        <w:rPr>
          <w:color w:val="000000"/>
          <w:sz w:val="21"/>
          <w:szCs w:val="21"/>
          <w:rFonts w:ascii="Georgia" w:hAnsi="Georgia"/>
          <w:lang w:val="fr-FR"/>
        </w:rPr>
        <w:t>Asile.</w:t>
      </w:r>
    </w:p>
    <w:p>
      <w:pPr>
        <w:pStyle w:val="style26"/>
        <w:numPr>
          <w:ilvl w:val="1"/>
          <w:numId w:val="1"/>
        </w:numPr>
      </w:pPr>
      <w:r>
        <w:rPr>
          <w:color w:val="000000"/>
          <w:sz w:val="21"/>
          <w:szCs w:val="21"/>
          <w:rFonts w:ascii="Georgia" w:hAnsi="Georgia"/>
          <w:lang w:val="fr-FR"/>
        </w:rPr>
        <w:t>Réfugié.</w:t>
      </w:r>
    </w:p>
    <w:p>
      <w:pPr>
        <w:pStyle w:val="style26"/>
        <w:numPr>
          <w:ilvl w:val="0"/>
          <w:numId w:val="1"/>
        </w:numPr>
      </w:pPr>
      <w:bookmarkStart w:id="0" w:name="_GoBack"/>
      <w:bookmarkEnd w:id="0"/>
      <w:r>
        <w:rPr>
          <w:lang w:val="fr-FR"/>
        </w:rPr>
        <w:t>L’histoire et la géographie au service de notre tâche : les réfugiés dans le monde.</w:t>
      </w:r>
    </w:p>
    <w:p>
      <w:pPr>
        <w:pStyle w:val="style26"/>
      </w:pPr>
      <w:r>
        <w:rPr>
          <w:color w:val="000000"/>
          <w:sz w:val="21"/>
          <w:szCs w:val="21"/>
          <w:rFonts w:ascii="Georgia" w:hAnsi="Georgia"/>
          <w:lang w:val="fr-FR"/>
        </w:rPr>
        <w:t>En 2010, il y avait dans le monde plus de 15,4 millions de réfugiés dont près de 5 millions de réfugiés palestiniens. Les Afghans (2,9 millions) et les Irakiens (1,8 million) forment les groupes de réfugiés les plus nombreux. Cette chiffre a évidemment augmenté dans les derniers années, surtout à partir de la crise syrienne.</w:t>
      </w:r>
    </w:p>
    <w:p>
      <w:pPr>
        <w:pStyle w:val="style26"/>
        <w:numPr>
          <w:ilvl w:val="0"/>
          <w:numId w:val="1"/>
        </w:numPr>
      </w:pPr>
      <w:r>
        <w:rPr>
          <w:color w:val="000000"/>
          <w:sz w:val="21"/>
          <w:szCs w:val="21"/>
          <w:rFonts w:ascii="Georgia" w:hAnsi="Georgia"/>
          <w:lang w:val="fr-FR"/>
        </w:rPr>
        <w:t xml:space="preserve">L’histoire de l’immigration, notamment des réfugiés sur le site du musée de l’Histoire de l’immigration : </w:t>
      </w:r>
    </w:p>
    <w:p>
      <w:pPr>
        <w:pStyle w:val="style26"/>
        <w:numPr>
          <w:ilvl w:val="0"/>
          <w:numId w:val="1"/>
        </w:numPr>
      </w:pPr>
      <w:r>
        <w:rPr>
          <w:lang w:val="fr-FR"/>
        </w:rPr>
      </w:r>
    </w:p>
    <w:p>
      <w:pPr>
        <w:pStyle w:val="style26"/>
        <w:numPr>
          <w:ilvl w:val="1"/>
          <w:numId w:val="1"/>
        </w:numPr>
      </w:pPr>
      <w:r>
        <w:rPr>
          <w:color w:val="000000"/>
          <w:sz w:val="21"/>
          <w:szCs w:val="21"/>
          <w:rFonts w:ascii="Georgia" w:hAnsi="Georgia"/>
          <w:lang w:val="fr-FR"/>
        </w:rPr>
        <w:t xml:space="preserve">Le film deux siècles de l’histoire de l’immigration : </w:t>
      </w:r>
      <w:hyperlink r:id="rId2">
        <w:r>
          <w:rPr>
            <w:sz w:val="21"/>
            <w:szCs w:val="21"/>
            <w:rStyle w:val="style17"/>
            <w:rFonts w:ascii="Georgia" w:hAnsi="Georgia"/>
            <w:lang w:val="fr-FR"/>
          </w:rPr>
          <w:t>http://www.histoire-immigration.fr/histoire-de-l-immigration/le-film</w:t>
        </w:r>
      </w:hyperlink>
    </w:p>
    <w:p>
      <w:pPr>
        <w:pStyle w:val="style26"/>
        <w:numPr>
          <w:ilvl w:val="1"/>
          <w:numId w:val="1"/>
        </w:numPr>
      </w:pPr>
      <w:r>
        <w:rPr>
          <w:color w:val="000000"/>
          <w:sz w:val="21"/>
          <w:szCs w:val="21"/>
          <w:rFonts w:ascii="Georgia" w:hAnsi="Georgia"/>
          <w:lang w:val="fr-FR"/>
        </w:rPr>
        <w:t xml:space="preserve">Un exemple qui nous touche : La « retirada » ou l’exil républicain espagnol d’après-guerre. </w:t>
      </w:r>
    </w:p>
    <w:p>
      <w:pPr>
        <w:pStyle w:val="style26"/>
        <w:ind w:hanging="0" w:left="1440" w:right="0"/>
      </w:pPr>
      <w:r>
        <w:rPr/>
        <w:drawing>
          <wp:inline distB="0" distL="0" distR="0" distT="0">
            <wp:extent cx="3257550" cy="25069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3257550" cy="2506980"/>
                    </a:xfrm>
                    <a:prstGeom prst="rect">
                      <a:avLst/>
                    </a:prstGeom>
                    <a:noFill/>
                    <a:ln w="9525">
                      <a:noFill/>
                      <a:miter lim="800000"/>
                      <a:headEnd/>
                      <a:tailEnd/>
                    </a:ln>
                  </pic:spPr>
                </pic:pic>
              </a:graphicData>
            </a:graphic>
          </wp:inline>
        </w:drawing>
      </w:r>
    </w:p>
    <w:p>
      <w:pPr>
        <w:pStyle w:val="style26"/>
        <w:ind w:hanging="0" w:left="1440" w:right="0"/>
      </w:pPr>
      <w:hyperlink r:id="rId4">
        <w:r>
          <w:rPr>
            <w:rStyle w:val="style17"/>
            <w:lang w:val="fr-FR"/>
          </w:rPr>
          <w:t>http://www.histoire-immigration.fr/des-dossiers-thematiques-sur-l-histoire-de-l-immigration/la-retirada-ou-l-exil-republicain-espagnol-d-apres-guerre</w:t>
        </w:r>
      </w:hyperlink>
    </w:p>
    <w:p>
      <w:pPr>
        <w:pStyle w:val="style26"/>
        <w:numPr>
          <w:ilvl w:val="0"/>
          <w:numId w:val="1"/>
        </w:numPr>
      </w:pPr>
      <w:r>
        <w:rPr>
          <w:lang w:val="fr-FR"/>
        </w:rPr>
        <w:t>Le 50e anniversaire de l’insurrection hongroise de 1956 et ses réfugiés : la vie des réfugiés hongrois sur le site de L’Agence des Nations Unies pour les réfugiés.</w:t>
      </w:r>
      <w:r>
        <w:rPr/>
        <w:drawing>
          <wp:inline distB="0" distL="0" distR="0" distT="0">
            <wp:extent cx="3169920" cy="22009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3169920" cy="2200910"/>
                    </a:xfrm>
                    <a:prstGeom prst="rect">
                      <a:avLst/>
                    </a:prstGeom>
                    <a:noFill/>
                    <a:ln w="9525">
                      <a:noFill/>
                      <a:miter lim="800000"/>
                      <a:headEnd/>
                      <a:tailEnd/>
                    </a:ln>
                  </pic:spPr>
                </pic:pic>
              </a:graphicData>
            </a:graphic>
          </wp:inline>
        </w:drawing>
      </w:r>
    </w:p>
    <w:p>
      <w:pPr>
        <w:pStyle w:val="style0"/>
      </w:pPr>
      <w:hyperlink r:id="rId6">
        <w:r>
          <w:rPr>
            <w:rStyle w:val="style17"/>
            <w:lang w:val="fr-FR"/>
          </w:rPr>
          <w:t>http://www.unhcr.fr/</w:t>
        </w:r>
      </w:hyperlink>
    </w:p>
    <w:p>
      <w:pPr>
        <w:pStyle w:val="style0"/>
      </w:pPr>
      <w:r>
        <w:rPr>
          <w:lang w:val="fr-FR"/>
        </w:rPr>
      </w:r>
    </w:p>
    <w:p>
      <w:pPr>
        <w:pStyle w:val="style26"/>
        <w:numPr>
          <w:ilvl w:val="0"/>
          <w:numId w:val="1"/>
        </w:numPr>
      </w:pPr>
      <w:r>
        <w:rPr>
          <w:lang w:val="fr-FR"/>
        </w:rPr>
        <w:t xml:space="preserve">L’histoire des réfugiés en images sur le site d’UNCHR. </w:t>
      </w:r>
    </w:p>
    <w:p>
      <w:pPr>
        <w:pStyle w:val="style26"/>
        <w:numPr>
          <w:ilvl w:val="1"/>
          <w:numId w:val="1"/>
        </w:numPr>
        <w:spacing w:after="28" w:before="28" w:line="100" w:lineRule="atLeast"/>
      </w:pPr>
      <w:r>
        <w:rPr>
          <w:color w:val="000000"/>
          <w:sz w:val="20"/>
          <w:szCs w:val="20"/>
          <w:rFonts w:ascii="Verdana" w:cs="Times New Roman" w:eastAsia="Times New Roman" w:hAnsi="Verdana"/>
          <w:lang w:eastAsia="es-ES" w:val="fr-FR"/>
        </w:rPr>
        <w:t>En Europe les réfugiés avaient fui les retentissements de la Seconde Guerre mondiale.</w:t>
      </w:r>
    </w:p>
    <w:p>
      <w:pPr>
        <w:pStyle w:val="style26"/>
        <w:numPr>
          <w:ilvl w:val="1"/>
          <w:numId w:val="1"/>
        </w:numPr>
      </w:pPr>
      <w:r>
        <w:rPr>
          <w:color w:val="000000"/>
          <w:sz w:val="20"/>
          <w:szCs w:val="20"/>
          <w:rFonts w:ascii="Verdana" w:cs="Times New Roman" w:eastAsia="Times New Roman" w:hAnsi="Verdana"/>
          <w:lang w:eastAsia="es-ES" w:val="fr-FR"/>
        </w:rPr>
        <w:t>Au cours des années 50, les crises de réfugiés s'étendent à l'Afrique puis à l'Asie, avant de revenir vers l'Europe et de prendre l'ampleur d'un problème mondial qui culmina dans la dernière décennie du XXème siècle avec les guerres des Balkans et de nombreux conflits sur tous les continents.</w:t>
      </w:r>
    </w:p>
    <w:p>
      <w:pPr>
        <w:pStyle w:val="style26"/>
        <w:numPr>
          <w:ilvl w:val="1"/>
          <w:numId w:val="1"/>
        </w:numPr>
      </w:pPr>
      <w:hyperlink r:id="rId7">
        <w:r>
          <w:rPr>
            <w:rStyle w:val="style17"/>
            <w:lang w:val="fr-FR"/>
          </w:rPr>
          <w:t>http://www.unhcr.fr/pictorial/photo01.html</w:t>
        </w:r>
      </w:hyperlink>
    </w:p>
    <w:p>
      <w:pPr>
        <w:pStyle w:val="style0"/>
        <w:ind w:hanging="0" w:left="1080" w:right="0"/>
      </w:pPr>
      <w:r>
        <w:rPr>
          <w:lang w:val="fr-FR"/>
        </w:rPr>
      </w:r>
    </w:p>
    <w:p>
      <w:pPr>
        <w:pStyle w:val="style26"/>
        <w:numPr>
          <w:ilvl w:val="0"/>
          <w:numId w:val="1"/>
        </w:numPr>
      </w:pPr>
      <w:r>
        <w:rPr>
          <w:lang w:val="fr-FR"/>
        </w:rPr>
        <w:t>Jeu en ligne : « envers et contre tout ». Pour entrer dans la peau d’un réfugié.</w:t>
      </w:r>
    </w:p>
    <w:p>
      <w:pPr>
        <w:pStyle w:val="style26"/>
        <w:ind w:hanging="0" w:left="786" w:right="0"/>
      </w:pPr>
      <w:r>
        <w:rPr/>
        <w:drawing>
          <wp:inline distB="0" distL="0" distR="0" distT="0">
            <wp:extent cx="3810635" cy="25355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3810635" cy="2535555"/>
                    </a:xfrm>
                    <a:prstGeom prst="rect">
                      <a:avLst/>
                    </a:prstGeom>
                    <a:noFill/>
                    <a:ln w="9525">
                      <a:noFill/>
                      <a:miter lim="800000"/>
                      <a:headEnd/>
                      <a:tailEnd/>
                    </a:ln>
                  </pic:spPr>
                </pic:pic>
              </a:graphicData>
            </a:graphic>
          </wp:inline>
        </w:drawing>
      </w:r>
    </w:p>
    <w:p>
      <w:pPr>
        <w:pStyle w:val="style26"/>
        <w:ind w:hanging="0" w:left="786" w:right="0"/>
      </w:pPr>
      <w:r>
        <w:rPr>
          <w:lang w:val="fr-FR"/>
        </w:rPr>
      </w:r>
    </w:p>
    <w:p>
      <w:pPr>
        <w:pStyle w:val="style26"/>
      </w:pPr>
      <w:r>
        <w:rPr>
          <w:lang w:val="fr-FR"/>
        </w:rPr>
      </w:r>
    </w:p>
    <w:p>
      <w:pPr>
        <w:pStyle w:val="style26"/>
      </w:pPr>
      <w:r>
        <w:rPr>
          <w:lang w:val="fr-FR"/>
        </w:rPr>
      </w:r>
    </w:p>
    <w:p>
      <w:pPr>
        <w:pStyle w:val="style26"/>
        <w:numPr>
          <w:ilvl w:val="0"/>
          <w:numId w:val="1"/>
        </w:numPr>
      </w:pPr>
      <w:r>
        <w:rPr>
          <w:lang w:val="fr-FR"/>
        </w:rPr>
        <w:t>Travailler sur le site de l’IOM (Organisation Internationale pour la Migration) :</w:t>
      </w:r>
    </w:p>
    <w:p>
      <w:pPr>
        <w:pStyle w:val="style26"/>
        <w:ind w:hanging="0" w:left="786" w:right="0"/>
      </w:pPr>
      <w:hyperlink r:id="rId9">
        <w:r>
          <w:rPr>
            <w:rStyle w:val="style17"/>
            <w:lang w:val="fr-FR"/>
          </w:rPr>
          <w:t>http://www.iomfrance.org/</w:t>
        </w:r>
      </w:hyperlink>
    </w:p>
    <w:p>
      <w:pPr>
        <w:pStyle w:val="style26"/>
        <w:ind w:hanging="0" w:left="786" w:right="0"/>
      </w:pPr>
      <w:r>
        <w:rPr>
          <w:lang w:val="fr-FR"/>
        </w:rPr>
      </w:r>
    </w:p>
    <w:p>
      <w:pPr>
        <w:pStyle w:val="style0"/>
      </w:pPr>
      <w:r>
        <w:rPr>
          <w:lang w:val="fr-FR"/>
        </w:rPr>
      </w:r>
    </w:p>
    <w:p>
      <w:pPr>
        <w:pStyle w:val="style0"/>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86"/>
      </w:pPr>
      <w:rPr>
        <w:rFonts w:ascii="Calibri" w:cs="Calibri" w:hAnsi="Calibri"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Calibri" w:cs="Calibri" w:hAnsi="Calibri" w:hint="default"/>
        <w:sz w:val="22"/>
        <w:i/>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ES"/>
    </w:rPr>
  </w:style>
  <w:style w:styleId="style15" w:type="character">
    <w:name w:val="Default Paragraph Font"/>
    <w:next w:val="style15"/>
    <w:rPr/>
  </w:style>
  <w:style w:styleId="style16" w:type="character">
    <w:name w:val="Destacado"/>
    <w:basedOn w:val="style15"/>
    <w:next w:val="style16"/>
    <w:rPr>
      <w:i/>
      <w:iCs/>
    </w:rPr>
  </w:style>
  <w:style w:styleId="style17" w:type="character">
    <w:name w:val="Vínculo Internet"/>
    <w:basedOn w:val="style15"/>
    <w:next w:val="style17"/>
    <w:rPr>
      <w:color w:val="0000FF"/>
      <w:u w:val="single"/>
      <w:lang w:bidi="es-ES" w:eastAsia="es-ES" w:val="es-ES"/>
    </w:rPr>
  </w:style>
  <w:style w:styleId="style18" w:type="character">
    <w:name w:val="ListLabel 1"/>
    <w:next w:val="style18"/>
    <w:rPr>
      <w:rFonts w:cs=""/>
    </w:rPr>
  </w:style>
  <w:style w:styleId="style19" w:type="character">
    <w:name w:val="ListLabel 2"/>
    <w:next w:val="style19"/>
    <w:rPr>
      <w:rFonts w:cs="Courier New"/>
    </w:rPr>
  </w:style>
  <w:style w:styleId="style20" w:type="character">
    <w:name w:val="ListLabel 3"/>
    <w:next w:val="style20"/>
    <w:rPr>
      <w:sz w:val="22"/>
      <w:i/>
      <w:rFonts w:cs=""/>
    </w:rPr>
  </w:style>
  <w:style w:styleId="style21" w:type="paragraph">
    <w:name w:val="Encabezado"/>
    <w:basedOn w:val="style0"/>
    <w:next w:val="style22"/>
    <w:pPr>
      <w:keepNext/>
      <w:spacing w:after="120" w:before="240"/>
    </w:pPr>
    <w:rPr>
      <w:sz w:val="28"/>
      <w:szCs w:val="28"/>
      <w:rFonts w:ascii="Arial" w:cs="DejaVu Sans" w:eastAsia="DejaVu Sans" w:hAnsi="Arial"/>
    </w:rPr>
  </w:style>
  <w:style w:styleId="style22" w:type="paragraph">
    <w:name w:val="Cuerpo de texto"/>
    <w:basedOn w:val="style0"/>
    <w:next w:val="style22"/>
    <w:pPr>
      <w:spacing w:after="120" w:before="0"/>
    </w:pPr>
    <w:rPr/>
  </w:style>
  <w:style w:styleId="style23" w:type="paragraph">
    <w:name w:val="Lista"/>
    <w:basedOn w:val="style22"/>
    <w:next w:val="style23"/>
    <w:pPr/>
    <w:rPr/>
  </w:style>
  <w:style w:styleId="style24" w:type="paragraph">
    <w:name w:val="Etiqueta"/>
    <w:basedOn w:val="style0"/>
    <w:next w:val="style24"/>
    <w:pPr>
      <w:suppressLineNumbers/>
      <w:spacing w:after="120" w:before="120"/>
    </w:pPr>
    <w:rPr>
      <w:sz w:val="24"/>
      <w:i/>
      <w:szCs w:val="24"/>
      <w:iCs/>
    </w:rPr>
  </w:style>
  <w:style w:styleId="style25" w:type="paragraph">
    <w:name w:val="Índice"/>
    <w:basedOn w:val="style0"/>
    <w:next w:val="style25"/>
    <w:pPr>
      <w:suppressLineNumbers/>
    </w:pPr>
    <w:rPr/>
  </w:style>
  <w:style w:styleId="style26" w:type="paragraph">
    <w:name w:val="List Paragraph"/>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istoire-immigration.fr/histoire-de-l-immigration/le-film" TargetMode="External"/><Relationship Id="rId3" Type="http://schemas.openxmlformats.org/officeDocument/2006/relationships/image" Target="media/image1.jpeg"/><Relationship Id="rId4" Type="http://schemas.openxmlformats.org/officeDocument/2006/relationships/hyperlink" Target="http://www.histoire-immigration.fr/des-dossiers-thematiques-sur-l-histoire-de-l-immigration/la-retirada-ou-l-exil-republicain-espagnol-d-apres-guerre" TargetMode="External"/><Relationship Id="rId5" Type="http://schemas.openxmlformats.org/officeDocument/2006/relationships/image" Target="media/image2.png"/><Relationship Id="rId6" Type="http://schemas.openxmlformats.org/officeDocument/2006/relationships/hyperlink" Target="http://www.unhcr.fr/" TargetMode="External"/><Relationship Id="rId7" Type="http://schemas.openxmlformats.org/officeDocument/2006/relationships/hyperlink" Target="http://www.unhcr.fr/pictorial/photo01.html" TargetMode="External"/><Relationship Id="rId8" Type="http://schemas.openxmlformats.org/officeDocument/2006/relationships/image" Target="media/image3.png"/><Relationship Id="rId9" Type="http://schemas.openxmlformats.org/officeDocument/2006/relationships/hyperlink" Target="http://www.iomfrance.org/" TargetMode="External"/><Relationship Id="rId10" Type="http://schemas.openxmlformats.org/officeDocument/2006/relationships/numbering" Target="numbering.xm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2016-02-17T04:12:00.00Z</dcterms:created>
  <dc:creator>Jose Miguel</dc:creator>
  <cp:lastModifiedBy>Jose Miguel</cp:lastModifiedBy>
  <dcterms:modified xsi:type="dcterms:W3CDTF">2016-02-17T05:17:00.00Z</dcterms:modified>
  <cp:revision>1</cp:revision>
</cp:coreProperties>
</file>