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9F" w:rsidRPr="00C9645F" w:rsidRDefault="001D592B" w:rsidP="00C9645F">
      <w:pPr>
        <w:jc w:val="center"/>
        <w:rPr>
          <w:rFonts w:ascii="Trebuchet MS" w:hAnsi="Trebuchet MS"/>
          <w:b/>
          <w:sz w:val="28"/>
          <w:szCs w:val="28"/>
          <w:lang w:val="lv-LV"/>
        </w:rPr>
      </w:pPr>
      <w:r w:rsidRPr="00C9645F">
        <w:rPr>
          <w:rFonts w:ascii="Trebuchet MS" w:hAnsi="Trebuchet MS"/>
          <w:b/>
          <w:sz w:val="28"/>
          <w:szCs w:val="28"/>
          <w:lang w:val="lv-LV"/>
        </w:rPr>
        <w:t>MIGRATION</w:t>
      </w:r>
    </w:p>
    <w:p w:rsidR="001D592B" w:rsidRPr="00C9645F" w:rsidRDefault="001D592B" w:rsidP="00C9645F">
      <w:pPr>
        <w:jc w:val="both"/>
        <w:rPr>
          <w:rFonts w:ascii="Trebuchet MS" w:hAnsi="Trebuchet MS"/>
          <w:sz w:val="24"/>
          <w:szCs w:val="24"/>
        </w:rPr>
      </w:pPr>
      <w:r w:rsidRPr="00C9645F">
        <w:rPr>
          <w:rFonts w:ascii="Trebuchet MS" w:hAnsi="Trebuchet MS"/>
          <w:noProof/>
          <w:sz w:val="24"/>
          <w:szCs w:val="24"/>
          <w:lang w:val="lv-LV" w:eastAsia="lv-LV"/>
        </w:rPr>
        <w:drawing>
          <wp:anchor distT="0" distB="0" distL="114300" distR="114300" simplePos="0" relativeHeight="251659264" behindDoc="1" locked="0" layoutInCell="1" allowOverlap="1">
            <wp:simplePos x="0" y="0"/>
            <wp:positionH relativeFrom="column">
              <wp:posOffset>91440</wp:posOffset>
            </wp:positionH>
            <wp:positionV relativeFrom="paragraph">
              <wp:posOffset>342265</wp:posOffset>
            </wp:positionV>
            <wp:extent cx="5646420" cy="1341120"/>
            <wp:effectExtent l="0" t="0" r="0" b="1143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sidRPr="00C9645F">
        <w:rPr>
          <w:rFonts w:ascii="Trebuchet MS" w:hAnsi="Trebuchet MS"/>
          <w:sz w:val="24"/>
          <w:szCs w:val="24"/>
        </w:rPr>
        <w:t>The EU is planning to achieve by 2020, compared to 2010</w:t>
      </w:r>
      <w:r w:rsidR="0015499E" w:rsidRPr="00C9645F">
        <w:rPr>
          <w:rFonts w:ascii="Trebuchet MS" w:hAnsi="Trebuchet MS"/>
          <w:sz w:val="24"/>
          <w:szCs w:val="24"/>
        </w:rPr>
        <w:t>:</w:t>
      </w:r>
    </w:p>
    <w:p w:rsidR="001D592B" w:rsidRPr="00C9645F" w:rsidRDefault="001D592B" w:rsidP="00C9645F">
      <w:pPr>
        <w:jc w:val="both"/>
        <w:rPr>
          <w:rFonts w:ascii="Trebuchet MS" w:hAnsi="Trebuchet MS"/>
          <w:b/>
          <w:sz w:val="24"/>
          <w:szCs w:val="24"/>
        </w:rPr>
      </w:pPr>
    </w:p>
    <w:p w:rsidR="0015499E" w:rsidRPr="00C9645F" w:rsidRDefault="0015499E" w:rsidP="00C9645F">
      <w:pPr>
        <w:jc w:val="both"/>
        <w:rPr>
          <w:rFonts w:ascii="Trebuchet MS" w:hAnsi="Trebuchet MS"/>
          <w:b/>
          <w:sz w:val="24"/>
          <w:szCs w:val="24"/>
        </w:rPr>
      </w:pPr>
    </w:p>
    <w:p w:rsidR="0015499E" w:rsidRPr="00C9645F" w:rsidRDefault="0015499E" w:rsidP="00C9645F">
      <w:pPr>
        <w:jc w:val="both"/>
        <w:rPr>
          <w:rFonts w:ascii="Trebuchet MS" w:hAnsi="Trebuchet MS"/>
          <w:b/>
          <w:sz w:val="24"/>
          <w:szCs w:val="24"/>
        </w:rPr>
      </w:pPr>
    </w:p>
    <w:p w:rsidR="0015499E" w:rsidRPr="00C9645F" w:rsidRDefault="0015499E" w:rsidP="00C9645F">
      <w:pPr>
        <w:jc w:val="both"/>
        <w:rPr>
          <w:rFonts w:ascii="Trebuchet MS" w:hAnsi="Trebuchet MS"/>
          <w:b/>
          <w:sz w:val="24"/>
          <w:szCs w:val="24"/>
        </w:rPr>
      </w:pPr>
    </w:p>
    <w:p w:rsidR="00C9645F" w:rsidRDefault="00C9645F" w:rsidP="00C9645F">
      <w:pPr>
        <w:jc w:val="both"/>
        <w:rPr>
          <w:rFonts w:ascii="Trebuchet MS" w:hAnsi="Trebuchet MS"/>
          <w:noProof/>
          <w:sz w:val="24"/>
          <w:szCs w:val="24"/>
        </w:rPr>
      </w:pPr>
    </w:p>
    <w:p w:rsidR="0015499E" w:rsidRPr="00C9645F" w:rsidRDefault="0015499E" w:rsidP="00C9645F">
      <w:pPr>
        <w:jc w:val="both"/>
        <w:rPr>
          <w:rFonts w:ascii="Trebuchet MS" w:hAnsi="Trebuchet MS"/>
          <w:noProof/>
          <w:sz w:val="24"/>
          <w:szCs w:val="24"/>
        </w:rPr>
      </w:pPr>
      <w:r w:rsidRPr="00C9645F">
        <w:rPr>
          <w:rFonts w:ascii="Trebuchet MS" w:hAnsi="Trebuchet MS"/>
          <w:noProof/>
          <w:sz w:val="24"/>
          <w:szCs w:val="24"/>
        </w:rPr>
        <w:t xml:space="preserve">The proposed actions focus on the following key areas: </w:t>
      </w:r>
    </w:p>
    <w:p w:rsidR="0015499E" w:rsidRPr="00C9645F" w:rsidRDefault="0015499E" w:rsidP="00C9645F">
      <w:pPr>
        <w:jc w:val="both"/>
        <w:rPr>
          <w:rFonts w:ascii="Trebuchet MS" w:hAnsi="Trebuchet MS"/>
          <w:b/>
          <w:noProof/>
          <w:sz w:val="24"/>
          <w:szCs w:val="24"/>
        </w:rPr>
      </w:pPr>
      <w:r w:rsidRPr="00C9645F">
        <w:rPr>
          <w:rFonts w:ascii="Trebuchet MS" w:hAnsi="Trebuchet MS"/>
          <w:b/>
          <w:noProof/>
          <w:sz w:val="24"/>
          <w:szCs w:val="24"/>
        </w:rPr>
        <w:t xml:space="preserve">A. Integration through participation. </w:t>
      </w:r>
    </w:p>
    <w:p w:rsidR="0015499E" w:rsidRPr="00C9645F" w:rsidRDefault="0015499E" w:rsidP="00C9645F">
      <w:pPr>
        <w:jc w:val="both"/>
        <w:rPr>
          <w:rFonts w:ascii="Trebuchet MS" w:hAnsi="Trebuchet MS"/>
          <w:b/>
          <w:noProof/>
          <w:sz w:val="24"/>
          <w:szCs w:val="24"/>
        </w:rPr>
      </w:pPr>
      <w:r w:rsidRPr="00C9645F">
        <w:rPr>
          <w:rFonts w:ascii="Trebuchet MS" w:hAnsi="Trebuchet MS"/>
          <w:b/>
          <w:noProof/>
          <w:sz w:val="24"/>
          <w:szCs w:val="24"/>
        </w:rPr>
        <w:t>B. More action at local level.</w:t>
      </w:r>
    </w:p>
    <w:p w:rsidR="0015499E" w:rsidRPr="00C9645F" w:rsidRDefault="0015499E" w:rsidP="00C9645F">
      <w:pPr>
        <w:jc w:val="both"/>
        <w:rPr>
          <w:rFonts w:ascii="Trebuchet MS" w:hAnsi="Trebuchet MS"/>
          <w:b/>
          <w:noProof/>
          <w:sz w:val="24"/>
          <w:szCs w:val="24"/>
        </w:rPr>
      </w:pPr>
      <w:r w:rsidRPr="00C9645F">
        <w:rPr>
          <w:rFonts w:ascii="Trebuchet MS" w:hAnsi="Trebuchet MS"/>
          <w:b/>
          <w:noProof/>
          <w:sz w:val="24"/>
          <w:szCs w:val="24"/>
        </w:rPr>
        <w:t>C. Involvement of countries of origin.</w:t>
      </w:r>
    </w:p>
    <w:p w:rsidR="00C9645F" w:rsidRDefault="00C9645F" w:rsidP="00C9645F">
      <w:pPr>
        <w:rPr>
          <w:rFonts w:ascii="Trebuchet MS" w:hAnsi="Trebuchet MS"/>
          <w:b/>
          <w:noProof/>
          <w:sz w:val="24"/>
          <w:szCs w:val="24"/>
        </w:rPr>
      </w:pPr>
    </w:p>
    <w:p w:rsidR="001A5825" w:rsidRPr="00C9645F" w:rsidRDefault="001A5825" w:rsidP="00C9645F">
      <w:pPr>
        <w:jc w:val="center"/>
        <w:rPr>
          <w:rFonts w:ascii="Trebuchet MS" w:hAnsi="Trebuchet MS"/>
          <w:b/>
          <w:noProof/>
          <w:sz w:val="28"/>
          <w:szCs w:val="28"/>
        </w:rPr>
      </w:pPr>
      <w:r w:rsidRPr="00C9645F">
        <w:rPr>
          <w:rFonts w:ascii="Trebuchet MS" w:hAnsi="Trebuchet MS"/>
          <w:b/>
          <w:noProof/>
          <w:sz w:val="28"/>
          <w:szCs w:val="28"/>
        </w:rPr>
        <w:t>Immigration in Europe in 2015</w:t>
      </w:r>
    </w:p>
    <w:p w:rsidR="002C1AB0" w:rsidRPr="00C9645F" w:rsidRDefault="001A5825" w:rsidP="00C9645F">
      <w:pPr>
        <w:jc w:val="both"/>
        <w:rPr>
          <w:rFonts w:ascii="Trebuchet MS" w:hAnsi="Trebuchet MS"/>
          <w:b/>
          <w:noProof/>
          <w:sz w:val="24"/>
          <w:szCs w:val="24"/>
        </w:rPr>
      </w:pPr>
      <w:r w:rsidRPr="00C9645F">
        <w:rPr>
          <w:rFonts w:ascii="Trebuchet MS" w:hAnsi="Trebuchet MS"/>
          <w:b/>
          <w:noProof/>
          <w:sz w:val="24"/>
          <w:szCs w:val="24"/>
          <w:lang w:val="lv-LV" w:eastAsia="lv-LV"/>
        </w:rPr>
        <w:drawing>
          <wp:inline distT="0" distB="0" distL="0" distR="0">
            <wp:extent cx="6596273" cy="4181475"/>
            <wp:effectExtent l="0" t="0" r="0" b="0"/>
            <wp:docPr id="3" name="Picture 2" descr="Immigration_by_citizenship,_2015_(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igration_by_citizenship,_2015_(¹).png"/>
                    <pic:cNvPicPr/>
                  </pic:nvPicPr>
                  <pic:blipFill>
                    <a:blip r:embed="rId10" cstate="print"/>
                    <a:stretch>
                      <a:fillRect/>
                    </a:stretch>
                  </pic:blipFill>
                  <pic:spPr>
                    <a:xfrm>
                      <a:off x="0" y="0"/>
                      <a:ext cx="6603301" cy="4185930"/>
                    </a:xfrm>
                    <a:prstGeom prst="rect">
                      <a:avLst/>
                    </a:prstGeom>
                  </pic:spPr>
                </pic:pic>
              </a:graphicData>
            </a:graphic>
          </wp:inline>
        </w:drawing>
      </w:r>
    </w:p>
    <w:p w:rsidR="002C1AB0" w:rsidRPr="00C9645F" w:rsidRDefault="0097296B" w:rsidP="00C9645F">
      <w:pPr>
        <w:jc w:val="both"/>
        <w:rPr>
          <w:rFonts w:ascii="Trebuchet MS" w:hAnsi="Trebuchet MS"/>
          <w:b/>
          <w:noProof/>
          <w:sz w:val="24"/>
          <w:szCs w:val="24"/>
        </w:rPr>
      </w:pPr>
      <w:r w:rsidRPr="00C9645F">
        <w:rPr>
          <w:rFonts w:ascii="Trebuchet MS" w:hAnsi="Trebuchet MS"/>
          <w:noProof/>
          <w:sz w:val="24"/>
          <w:szCs w:val="24"/>
        </w:rPr>
        <w:lastRenderedPageBreak/>
        <w:t>There</w:t>
      </w:r>
      <w:r w:rsidR="004F5780" w:rsidRPr="00C9645F">
        <w:rPr>
          <w:rFonts w:ascii="Trebuchet MS" w:hAnsi="Trebuchet MS"/>
          <w:noProof/>
          <w:sz w:val="24"/>
          <w:szCs w:val="24"/>
        </w:rPr>
        <w:t xml:space="preserve"> wa</w:t>
      </w:r>
      <w:r w:rsidRPr="00C9645F">
        <w:rPr>
          <w:rFonts w:ascii="Trebuchet MS" w:hAnsi="Trebuchet MS"/>
          <w:noProof/>
          <w:sz w:val="24"/>
          <w:szCs w:val="24"/>
        </w:rPr>
        <w:t>s about 214 million International migrants and 42 million refugees in the World</w:t>
      </w:r>
      <w:r w:rsidR="004F5780" w:rsidRPr="00C9645F">
        <w:rPr>
          <w:rFonts w:ascii="Trebuchet MS" w:hAnsi="Trebuchet MS"/>
          <w:noProof/>
          <w:sz w:val="24"/>
          <w:szCs w:val="24"/>
        </w:rPr>
        <w:t xml:space="preserve"> in 2017</w:t>
      </w:r>
      <w:r w:rsidR="00AE4254" w:rsidRPr="00C9645F">
        <w:rPr>
          <w:rFonts w:ascii="Trebuchet MS" w:hAnsi="Trebuchet MS"/>
          <w:noProof/>
          <w:sz w:val="24"/>
          <w:szCs w:val="24"/>
        </w:rPr>
        <w:t>. According to European Commision there are approximately 4.5 million illegal refugees living in different EU countries, mostly in Germany, Italy and France.</w:t>
      </w:r>
      <w:r w:rsidR="007C7F5F" w:rsidRPr="00C9645F">
        <w:rPr>
          <w:rFonts w:ascii="Trebuchet MS" w:hAnsi="Trebuchet MS"/>
          <w:noProof/>
          <w:sz w:val="24"/>
          <w:szCs w:val="24"/>
        </w:rPr>
        <w:t xml:space="preserve"> Many Europeans think that </w:t>
      </w:r>
      <w:r w:rsidR="00B3097A" w:rsidRPr="00C9645F">
        <w:rPr>
          <w:rFonts w:ascii="Trebuchet MS" w:hAnsi="Trebuchet MS"/>
          <w:noProof/>
          <w:sz w:val="24"/>
          <w:szCs w:val="24"/>
        </w:rPr>
        <w:t>migration</w:t>
      </w:r>
      <w:r w:rsidR="00383B37" w:rsidRPr="00C9645F">
        <w:rPr>
          <w:rFonts w:ascii="Trebuchet MS" w:hAnsi="Trebuchet MS"/>
          <w:noProof/>
          <w:sz w:val="24"/>
          <w:szCs w:val="24"/>
        </w:rPr>
        <w:t xml:space="preserve"> policy</w:t>
      </w:r>
      <w:r w:rsidR="00B3097A" w:rsidRPr="00C9645F">
        <w:rPr>
          <w:rFonts w:ascii="Trebuchet MS" w:hAnsi="Trebuchet MS"/>
          <w:noProof/>
          <w:sz w:val="24"/>
          <w:szCs w:val="24"/>
        </w:rPr>
        <w:t xml:space="preserve"> should be more stric</w:t>
      </w:r>
      <w:r w:rsidR="00383B37" w:rsidRPr="00C9645F">
        <w:rPr>
          <w:rFonts w:ascii="Trebuchet MS" w:hAnsi="Trebuchet MS"/>
          <w:noProof/>
          <w:sz w:val="24"/>
          <w:szCs w:val="24"/>
        </w:rPr>
        <w:t>t, bec</w:t>
      </w:r>
      <w:r w:rsidR="001D0DFB" w:rsidRPr="00C9645F">
        <w:rPr>
          <w:rFonts w:ascii="Trebuchet MS" w:hAnsi="Trebuchet MS"/>
          <w:noProof/>
          <w:sz w:val="24"/>
          <w:szCs w:val="24"/>
        </w:rPr>
        <w:t>ause many EU countries have problems that affect their own citizens drasticly</w:t>
      </w:r>
      <w:r w:rsidR="001D0DFB" w:rsidRPr="00C9645F">
        <w:rPr>
          <w:rFonts w:ascii="Trebuchet MS" w:hAnsi="Trebuchet MS"/>
          <w:b/>
          <w:noProof/>
          <w:sz w:val="24"/>
          <w:szCs w:val="24"/>
        </w:rPr>
        <w:t>.</w:t>
      </w:r>
    </w:p>
    <w:p w:rsidR="00140710" w:rsidRPr="00C9645F" w:rsidRDefault="00140710" w:rsidP="00C9645F">
      <w:pPr>
        <w:jc w:val="both"/>
        <w:rPr>
          <w:rFonts w:ascii="Trebuchet MS" w:hAnsi="Trebuchet MS"/>
          <w:sz w:val="24"/>
          <w:szCs w:val="24"/>
          <w:shd w:val="clear" w:color="auto" w:fill="FFFFFF"/>
        </w:rPr>
      </w:pPr>
      <w:r w:rsidRPr="00C9645F">
        <w:rPr>
          <w:rFonts w:ascii="Trebuchet MS" w:hAnsi="Trebuchet MS"/>
          <w:sz w:val="24"/>
          <w:szCs w:val="24"/>
          <w:shd w:val="clear" w:color="auto" w:fill="FFFFFF"/>
        </w:rPr>
        <w:t>The Asylum, Migration and Integration Fund (AMIF) was set up for the period 2014-20, with a total of EUR 3.137 billion for the seven years. It will promote the efficient management of migration flows and the implementation, strengthening and development of a common Union approach to asylum and immigration.</w:t>
      </w:r>
    </w:p>
    <w:p w:rsidR="00E6238D" w:rsidRPr="00C9645F" w:rsidRDefault="00E6238D" w:rsidP="00C9645F">
      <w:pPr>
        <w:jc w:val="both"/>
        <w:rPr>
          <w:rFonts w:ascii="Trebuchet MS" w:hAnsi="Trebuchet MS"/>
          <w:b/>
          <w:noProof/>
          <w:sz w:val="24"/>
          <w:szCs w:val="24"/>
        </w:rPr>
      </w:pPr>
      <w:r w:rsidRPr="00C9645F">
        <w:rPr>
          <w:rFonts w:ascii="Trebuchet MS" w:hAnsi="Trebuchet MS"/>
          <w:sz w:val="24"/>
          <w:szCs w:val="24"/>
          <w:shd w:val="clear" w:color="auto" w:fill="FFFFFF"/>
        </w:rPr>
        <w:t>Basic allocation for Latvia under AMIF fund is €13.751.777</w:t>
      </w:r>
      <w:proofErr w:type="gramStart"/>
      <w:r w:rsidRPr="00C9645F">
        <w:rPr>
          <w:rFonts w:ascii="Trebuchet MS" w:hAnsi="Trebuchet MS"/>
          <w:sz w:val="24"/>
          <w:szCs w:val="24"/>
          <w:shd w:val="clear" w:color="auto" w:fill="FFFFFF"/>
        </w:rPr>
        <w:t>,00</w:t>
      </w:r>
      <w:proofErr w:type="gramEnd"/>
      <w:r w:rsidRPr="00C9645F">
        <w:rPr>
          <w:rFonts w:ascii="Trebuchet MS" w:hAnsi="Trebuchet MS"/>
          <w:sz w:val="24"/>
          <w:szCs w:val="24"/>
          <w:shd w:val="clear" w:color="auto" w:fill="FFFFFF"/>
        </w:rPr>
        <w:t>.</w:t>
      </w:r>
    </w:p>
    <w:p w:rsidR="006D74E1" w:rsidRPr="00C9645F" w:rsidRDefault="006D74E1" w:rsidP="00C9645F">
      <w:pPr>
        <w:jc w:val="both"/>
        <w:rPr>
          <w:rFonts w:ascii="Trebuchet MS" w:hAnsi="Trebuchet MS"/>
          <w:sz w:val="24"/>
          <w:szCs w:val="24"/>
          <w:shd w:val="clear" w:color="auto" w:fill="FFFFFF"/>
        </w:rPr>
      </w:pPr>
    </w:p>
    <w:p w:rsidR="00136F6D" w:rsidRPr="00C9645F" w:rsidRDefault="00136F6D" w:rsidP="00C9645F">
      <w:pPr>
        <w:jc w:val="center"/>
        <w:rPr>
          <w:rFonts w:ascii="Trebuchet MS" w:hAnsi="Trebuchet MS"/>
          <w:b/>
          <w:sz w:val="28"/>
          <w:szCs w:val="28"/>
          <w:shd w:val="clear" w:color="auto" w:fill="FFFFFF"/>
        </w:rPr>
      </w:pPr>
      <w:r w:rsidRPr="00C9645F">
        <w:rPr>
          <w:rFonts w:ascii="Trebuchet MS" w:hAnsi="Trebuchet MS"/>
          <w:b/>
          <w:sz w:val="28"/>
          <w:szCs w:val="28"/>
          <w:shd w:val="clear" w:color="auto" w:fill="FFFFFF"/>
        </w:rPr>
        <w:t>Migration in Latvia from 1986 to 2011</w:t>
      </w:r>
    </w:p>
    <w:p w:rsidR="00136F6D" w:rsidRPr="00C9645F" w:rsidRDefault="00136F6D" w:rsidP="00C9645F">
      <w:pPr>
        <w:jc w:val="both"/>
        <w:rPr>
          <w:rFonts w:ascii="Trebuchet MS" w:hAnsi="Trebuchet MS"/>
          <w:sz w:val="24"/>
          <w:szCs w:val="24"/>
          <w:shd w:val="clear" w:color="auto" w:fill="FFFFFF"/>
        </w:rPr>
      </w:pPr>
      <w:r w:rsidRPr="00C9645F">
        <w:rPr>
          <w:rFonts w:ascii="Trebuchet MS" w:hAnsi="Trebuchet MS"/>
          <w:noProof/>
          <w:sz w:val="24"/>
          <w:szCs w:val="24"/>
          <w:shd w:val="clear" w:color="auto" w:fill="FFFFFF"/>
          <w:lang w:val="lv-LV" w:eastAsia="lv-LV"/>
        </w:rPr>
        <w:drawing>
          <wp:inline distT="0" distB="0" distL="0" distR="0">
            <wp:extent cx="6020243" cy="1605516"/>
            <wp:effectExtent l="19050" t="0" r="0" b="0"/>
            <wp:docPr id="1" name="Picture 0"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11" cstate="print"/>
                    <a:stretch>
                      <a:fillRect/>
                    </a:stretch>
                  </pic:blipFill>
                  <pic:spPr>
                    <a:xfrm>
                      <a:off x="0" y="0"/>
                      <a:ext cx="6035272" cy="1609524"/>
                    </a:xfrm>
                    <a:prstGeom prst="rect">
                      <a:avLst/>
                    </a:prstGeom>
                  </pic:spPr>
                </pic:pic>
              </a:graphicData>
            </a:graphic>
          </wp:inline>
        </w:drawing>
      </w:r>
    </w:p>
    <w:p w:rsidR="00EF5039" w:rsidRPr="00C9645F" w:rsidRDefault="006D74E1" w:rsidP="00C9645F">
      <w:pPr>
        <w:jc w:val="both"/>
        <w:rPr>
          <w:rFonts w:ascii="Segoe UI" w:hAnsi="Segoe UI" w:cs="Segoe UI"/>
          <w:color w:val="777777"/>
          <w:sz w:val="24"/>
          <w:szCs w:val="24"/>
        </w:rPr>
      </w:pPr>
      <w:r w:rsidRPr="00C9645F">
        <w:rPr>
          <w:rFonts w:ascii="Trebuchet MS" w:hAnsi="Trebuchet MS"/>
          <w:sz w:val="24"/>
          <w:szCs w:val="24"/>
          <w:shd w:val="clear" w:color="auto" w:fill="FFFFFF"/>
        </w:rPr>
        <w:t xml:space="preserve">In accordance with data provided by the Office of Citizenship and Migration Affairs, 73 965 third country nationals </w:t>
      </w:r>
      <w:proofErr w:type="gramStart"/>
      <w:r w:rsidRPr="00C9645F">
        <w:rPr>
          <w:rFonts w:ascii="Trebuchet MS" w:hAnsi="Trebuchet MS"/>
          <w:sz w:val="24"/>
          <w:szCs w:val="24"/>
          <w:shd w:val="clear" w:color="auto" w:fill="FFFFFF"/>
        </w:rPr>
        <w:t>are registered</w:t>
      </w:r>
      <w:proofErr w:type="gramEnd"/>
      <w:r w:rsidRPr="00C9645F">
        <w:rPr>
          <w:rFonts w:ascii="Trebuchet MS" w:hAnsi="Trebuchet MS"/>
          <w:sz w:val="24"/>
          <w:szCs w:val="24"/>
          <w:shd w:val="clear" w:color="auto" w:fill="FFFFFF"/>
        </w:rPr>
        <w:t xml:space="preserve"> in Latvia as at 1 January 2017.</w:t>
      </w:r>
      <w:r w:rsidRPr="00C9645F">
        <w:rPr>
          <w:rFonts w:ascii="Verdana" w:hAnsi="Verdana"/>
          <w:color w:val="333333"/>
          <w:sz w:val="24"/>
          <w:szCs w:val="24"/>
          <w:shd w:val="clear" w:color="auto" w:fill="FFFFFF"/>
        </w:rPr>
        <w:t xml:space="preserve"> </w:t>
      </w:r>
      <w:r w:rsidR="00EF5039" w:rsidRPr="00C9645F">
        <w:rPr>
          <w:rFonts w:ascii="Trebuchet MS" w:hAnsi="Trebuchet MS"/>
          <w:sz w:val="24"/>
          <w:szCs w:val="24"/>
          <w:shd w:val="clear" w:color="auto" w:fill="FFFFFF"/>
        </w:rPr>
        <w:t>About 258 thousand people are foreign-born, which is 13</w:t>
      </w:r>
      <w:proofErr w:type="gramStart"/>
      <w:r w:rsidR="00EF5039" w:rsidRPr="00C9645F">
        <w:rPr>
          <w:rFonts w:ascii="Trebuchet MS" w:hAnsi="Trebuchet MS"/>
          <w:sz w:val="24"/>
          <w:szCs w:val="24"/>
          <w:shd w:val="clear" w:color="auto" w:fill="FFFFFF"/>
        </w:rPr>
        <w:t>,1</w:t>
      </w:r>
      <w:proofErr w:type="gramEnd"/>
      <w:r w:rsidR="00EF5039" w:rsidRPr="00C9645F">
        <w:rPr>
          <w:rFonts w:ascii="Trebuchet MS" w:hAnsi="Trebuchet MS"/>
          <w:sz w:val="24"/>
          <w:szCs w:val="24"/>
          <w:shd w:val="clear" w:color="auto" w:fill="FFFFFF"/>
        </w:rPr>
        <w:t xml:space="preserve">% of population. Many non-nationals are former Soviet Union citizens. </w:t>
      </w:r>
      <w:proofErr w:type="gramStart"/>
      <w:r w:rsidR="00EF5039" w:rsidRPr="00C9645F">
        <w:rPr>
          <w:rFonts w:ascii="Trebuchet MS" w:hAnsi="Trebuchet MS"/>
          <w:sz w:val="24"/>
          <w:szCs w:val="24"/>
          <w:shd w:val="clear" w:color="auto" w:fill="FFFFFF"/>
        </w:rPr>
        <w:t xml:space="preserve">They </w:t>
      </w:r>
      <w:r w:rsidR="00EF5039" w:rsidRPr="00C9645F">
        <w:rPr>
          <w:rFonts w:ascii="Trebuchet MS" w:hAnsi="Trebuchet MS" w:cs="Arial"/>
          <w:sz w:val="24"/>
          <w:szCs w:val="24"/>
          <w:shd w:val="clear" w:color="auto" w:fill="FFFFFF"/>
        </w:rPr>
        <w:t>are permanently resident in Latvia but have not acquired Latvian citizenship.</w:t>
      </w:r>
      <w:proofErr w:type="gramEnd"/>
      <w:r w:rsidR="00EF5039" w:rsidRPr="00C9645F">
        <w:rPr>
          <w:rFonts w:ascii="Trebuchet MS" w:hAnsi="Trebuchet MS" w:cs="Arial"/>
          <w:sz w:val="24"/>
          <w:szCs w:val="24"/>
          <w:shd w:val="clear" w:color="auto" w:fill="FFFFFF"/>
        </w:rPr>
        <w:t xml:space="preserve"> </w:t>
      </w:r>
      <w:proofErr w:type="gramStart"/>
      <w:r w:rsidR="00EF5039" w:rsidRPr="00C9645F">
        <w:rPr>
          <w:rFonts w:ascii="Trebuchet MS" w:hAnsi="Trebuchet MS" w:cs="Arial"/>
          <w:sz w:val="24"/>
          <w:szCs w:val="24"/>
          <w:shd w:val="clear" w:color="auto" w:fill="FFFFFF"/>
        </w:rPr>
        <w:t>Citizens of Latvia are recognized by Citizenship Law</w:t>
      </w:r>
      <w:proofErr w:type="gramEnd"/>
      <w:r w:rsidR="00EF5039" w:rsidRPr="00C9645F">
        <w:rPr>
          <w:rFonts w:ascii="Trebuchet MS" w:hAnsi="Trebuchet MS" w:cs="Arial"/>
          <w:sz w:val="24"/>
          <w:szCs w:val="24"/>
          <w:shd w:val="clear" w:color="auto" w:fill="FFFFFF"/>
        </w:rPr>
        <w:t>.</w:t>
      </w:r>
      <w:r w:rsidR="00EF5039" w:rsidRPr="00C9645F">
        <w:rPr>
          <w:rFonts w:ascii="Segoe UI" w:hAnsi="Segoe UI" w:cs="Segoe UI"/>
          <w:color w:val="777777"/>
          <w:sz w:val="24"/>
          <w:szCs w:val="24"/>
        </w:rPr>
        <w:t xml:space="preserve"> </w:t>
      </w:r>
      <w:r w:rsidR="00E6238D" w:rsidRPr="00C9645F">
        <w:rPr>
          <w:rFonts w:ascii="Trebuchet MS" w:hAnsi="Trebuchet MS" w:cs="Segoe UI"/>
          <w:sz w:val="24"/>
          <w:szCs w:val="24"/>
        </w:rPr>
        <w:t>M</w:t>
      </w:r>
      <w:r w:rsidR="00EF5039" w:rsidRPr="00C9645F">
        <w:rPr>
          <w:rFonts w:ascii="Trebuchet MS" w:hAnsi="Trebuchet MS" w:cs="Segoe UI"/>
          <w:sz w:val="24"/>
          <w:szCs w:val="24"/>
        </w:rPr>
        <w:t xml:space="preserve">any chose to receive Russian citizenship, </w:t>
      </w:r>
      <w:proofErr w:type="gramStart"/>
      <w:r w:rsidR="00EF5039" w:rsidRPr="00C9645F">
        <w:rPr>
          <w:rFonts w:ascii="Trebuchet MS" w:hAnsi="Trebuchet MS" w:cs="Segoe UI"/>
          <w:sz w:val="24"/>
          <w:szCs w:val="24"/>
        </w:rPr>
        <w:t xml:space="preserve">be </w:t>
      </w:r>
      <w:r w:rsidR="00C9645F" w:rsidRPr="00C9645F">
        <w:rPr>
          <w:rFonts w:ascii="Trebuchet MS" w:hAnsi="Trebuchet MS" w:cs="Segoe UI"/>
          <w:sz w:val="24"/>
          <w:szCs w:val="24"/>
        </w:rPr>
        <w:t>categorized</w:t>
      </w:r>
      <w:proofErr w:type="gramEnd"/>
      <w:r w:rsidR="00EF5039" w:rsidRPr="00C9645F">
        <w:rPr>
          <w:rFonts w:ascii="Trebuchet MS" w:hAnsi="Trebuchet MS" w:cs="Segoe UI"/>
          <w:sz w:val="24"/>
          <w:szCs w:val="24"/>
        </w:rPr>
        <w:t xml:space="preserve"> as a non-citizen, or become a citizen of other country rather than go through the complicated process of </w:t>
      </w:r>
      <w:r w:rsidR="00C9645F" w:rsidRPr="00C9645F">
        <w:rPr>
          <w:rFonts w:ascii="Trebuchet MS" w:hAnsi="Trebuchet MS" w:cs="Segoe UI"/>
          <w:sz w:val="24"/>
          <w:szCs w:val="24"/>
        </w:rPr>
        <w:t>naturalization</w:t>
      </w:r>
      <w:r w:rsidR="00EF5039" w:rsidRPr="00C9645F">
        <w:rPr>
          <w:rFonts w:ascii="Trebuchet MS" w:hAnsi="Trebuchet MS" w:cs="Segoe UI"/>
          <w:sz w:val="24"/>
          <w:szCs w:val="24"/>
        </w:rPr>
        <w:t>.</w:t>
      </w:r>
      <w:r w:rsidR="00EF5039" w:rsidRPr="00C9645F">
        <w:rPr>
          <w:rFonts w:ascii="Segoe UI" w:hAnsi="Segoe UI" w:cs="Segoe UI"/>
          <w:color w:val="777777"/>
          <w:sz w:val="24"/>
          <w:szCs w:val="24"/>
        </w:rPr>
        <w:t> </w:t>
      </w:r>
    </w:p>
    <w:p w:rsidR="001A5825" w:rsidRPr="00C9645F" w:rsidRDefault="001A5825" w:rsidP="00C9645F">
      <w:pPr>
        <w:shd w:val="clear" w:color="auto" w:fill="FFFFFF"/>
        <w:spacing w:after="117" w:line="240" w:lineRule="auto"/>
        <w:jc w:val="both"/>
        <w:outlineLvl w:val="0"/>
        <w:rPr>
          <w:rFonts w:ascii="Trebuchet MS" w:eastAsia="Times New Roman" w:hAnsi="Trebuchet MS" w:cs="Arial"/>
          <w:b/>
          <w:kern w:val="36"/>
          <w:sz w:val="24"/>
          <w:szCs w:val="24"/>
        </w:rPr>
      </w:pPr>
    </w:p>
    <w:p w:rsidR="001A5825" w:rsidRPr="00C9645F" w:rsidRDefault="001A5825" w:rsidP="00C9645F">
      <w:pPr>
        <w:shd w:val="clear" w:color="auto" w:fill="FFFFFF"/>
        <w:spacing w:after="117" w:line="240" w:lineRule="auto"/>
        <w:jc w:val="center"/>
        <w:outlineLvl w:val="0"/>
        <w:rPr>
          <w:rFonts w:ascii="Trebuchet MS" w:eastAsia="Times New Roman" w:hAnsi="Trebuchet MS" w:cs="Arial"/>
          <w:b/>
          <w:kern w:val="36"/>
          <w:sz w:val="28"/>
          <w:szCs w:val="28"/>
        </w:rPr>
      </w:pPr>
      <w:r w:rsidRPr="00C9645F">
        <w:rPr>
          <w:rFonts w:ascii="Trebuchet MS" w:eastAsia="Times New Roman" w:hAnsi="Trebuchet MS" w:cs="Arial"/>
          <w:b/>
          <w:kern w:val="36"/>
          <w:sz w:val="28"/>
          <w:szCs w:val="28"/>
        </w:rPr>
        <w:t>Main countries of citizenship and birth of the foreign-born population in Latvia in 2016</w:t>
      </w:r>
    </w:p>
    <w:p w:rsidR="0015499E" w:rsidRPr="00C9645F" w:rsidRDefault="001A5825" w:rsidP="00C9645F">
      <w:pPr>
        <w:jc w:val="both"/>
        <w:rPr>
          <w:rFonts w:ascii="Trebuchet MS" w:hAnsi="Trebuchet MS"/>
          <w:b/>
          <w:sz w:val="24"/>
          <w:szCs w:val="24"/>
        </w:rPr>
      </w:pPr>
      <w:bookmarkStart w:id="0" w:name="_GoBack"/>
      <w:r w:rsidRPr="00C9645F">
        <w:rPr>
          <w:rFonts w:ascii="Trebuchet MS" w:hAnsi="Trebuchet MS"/>
          <w:b/>
          <w:noProof/>
          <w:sz w:val="24"/>
          <w:szCs w:val="24"/>
          <w:lang w:val="lv-LV" w:eastAsia="lv-LV"/>
        </w:rPr>
        <w:drawing>
          <wp:inline distT="0" distB="0" distL="0" distR="0">
            <wp:extent cx="5334000" cy="1232843"/>
            <wp:effectExtent l="0" t="0" r="0" b="5715"/>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stretch>
                      <a:fillRect/>
                    </a:stretch>
                  </pic:blipFill>
                  <pic:spPr>
                    <a:xfrm>
                      <a:off x="0" y="0"/>
                      <a:ext cx="5392605" cy="1246388"/>
                    </a:xfrm>
                    <a:prstGeom prst="rect">
                      <a:avLst/>
                    </a:prstGeom>
                  </pic:spPr>
                </pic:pic>
              </a:graphicData>
            </a:graphic>
          </wp:inline>
        </w:drawing>
      </w:r>
      <w:bookmarkEnd w:id="0"/>
    </w:p>
    <w:p w:rsidR="001A5825" w:rsidRPr="00C9645F" w:rsidRDefault="00C85506" w:rsidP="00C9645F">
      <w:pPr>
        <w:jc w:val="both"/>
        <w:rPr>
          <w:rFonts w:ascii="Trebuchet MS" w:hAnsi="Trebuchet MS"/>
          <w:sz w:val="24"/>
          <w:szCs w:val="24"/>
        </w:rPr>
      </w:pPr>
      <w:r w:rsidRPr="00C9645F">
        <w:rPr>
          <w:rFonts w:ascii="Trebuchet MS" w:hAnsi="Trebuchet MS"/>
          <w:sz w:val="24"/>
          <w:szCs w:val="24"/>
        </w:rPr>
        <w:lastRenderedPageBreak/>
        <w:t>From 2010</w:t>
      </w:r>
      <w:r w:rsidR="00EE7584" w:rsidRPr="00C9645F">
        <w:rPr>
          <w:rFonts w:ascii="Trebuchet MS" w:hAnsi="Trebuchet MS"/>
          <w:sz w:val="24"/>
          <w:szCs w:val="24"/>
        </w:rPr>
        <w:t>,</w:t>
      </w:r>
      <w:r w:rsidRPr="00C9645F">
        <w:rPr>
          <w:rFonts w:ascii="Trebuchet MS" w:hAnsi="Trebuchet MS"/>
          <w:sz w:val="24"/>
          <w:szCs w:val="24"/>
        </w:rPr>
        <w:t xml:space="preserve"> more than 110000 or about 8 percent of inhabitants emigrated from Latvia</w:t>
      </w:r>
      <w:r w:rsidR="00ED2E1B" w:rsidRPr="00C9645F">
        <w:rPr>
          <w:rFonts w:ascii="Trebuchet MS" w:hAnsi="Trebuchet MS"/>
          <w:sz w:val="24"/>
          <w:szCs w:val="24"/>
        </w:rPr>
        <w:t xml:space="preserve"> and after regaining independence in 1991, Latvia has lost around 30 percent of its population. Economic migration, low birth rates and high mortality are main contributing factors to that. Borders are open, information about life in other EU states is available and </w:t>
      </w:r>
      <w:proofErr w:type="gramStart"/>
      <w:r w:rsidR="00ED2E1B" w:rsidRPr="00C9645F">
        <w:rPr>
          <w:rFonts w:ascii="Trebuchet MS" w:hAnsi="Trebuchet MS"/>
          <w:sz w:val="24"/>
          <w:szCs w:val="24"/>
        </w:rPr>
        <w:t>that’s</w:t>
      </w:r>
      <w:proofErr w:type="gramEnd"/>
      <w:r w:rsidR="00ED2E1B" w:rsidRPr="00C9645F">
        <w:rPr>
          <w:rFonts w:ascii="Trebuchet MS" w:hAnsi="Trebuchet MS"/>
          <w:sz w:val="24"/>
          <w:szCs w:val="24"/>
        </w:rPr>
        <w:t xml:space="preserve"> why people are leaving country, looking for a better life conditions.</w:t>
      </w:r>
      <w:r w:rsidR="00DB407E" w:rsidRPr="00C9645F">
        <w:rPr>
          <w:rFonts w:ascii="Trebuchet MS" w:hAnsi="Trebuchet MS"/>
          <w:sz w:val="24"/>
          <w:szCs w:val="24"/>
        </w:rPr>
        <w:t xml:space="preserve"> Main leavers are people aged 25-49 and the most important fact is that they are a majority of </w:t>
      </w:r>
      <w:r w:rsidR="00EE7584" w:rsidRPr="00C9645F">
        <w:rPr>
          <w:rFonts w:ascii="Trebuchet MS" w:hAnsi="Trebuchet MS"/>
          <w:sz w:val="24"/>
          <w:szCs w:val="24"/>
        </w:rPr>
        <w:t>working power in Latvia</w:t>
      </w:r>
      <w:r w:rsidR="00DB407E" w:rsidRPr="00C9645F">
        <w:rPr>
          <w:rFonts w:ascii="Trebuchet MS" w:hAnsi="Trebuchet MS"/>
          <w:sz w:val="24"/>
          <w:szCs w:val="24"/>
        </w:rPr>
        <w:t xml:space="preserve">. </w:t>
      </w:r>
      <w:r w:rsidR="00EE7584" w:rsidRPr="00C9645F">
        <w:rPr>
          <w:rFonts w:ascii="Trebuchet MS" w:hAnsi="Trebuchet MS"/>
          <w:sz w:val="24"/>
          <w:szCs w:val="24"/>
        </w:rPr>
        <w:t xml:space="preserve">They choose not to come back after migrating, simply because they </w:t>
      </w:r>
      <w:proofErr w:type="gramStart"/>
      <w:r w:rsidR="00EE7584" w:rsidRPr="00C9645F">
        <w:rPr>
          <w:rFonts w:ascii="Trebuchet MS" w:hAnsi="Trebuchet MS"/>
          <w:sz w:val="24"/>
          <w:szCs w:val="24"/>
        </w:rPr>
        <w:t>don’t</w:t>
      </w:r>
      <w:proofErr w:type="gramEnd"/>
      <w:r w:rsidR="00EE7584" w:rsidRPr="00C9645F">
        <w:rPr>
          <w:rFonts w:ascii="Trebuchet MS" w:hAnsi="Trebuchet MS"/>
          <w:sz w:val="24"/>
          <w:szCs w:val="24"/>
        </w:rPr>
        <w:t xml:space="preserve"> see reason for that. </w:t>
      </w:r>
      <w:r w:rsidR="00DB407E" w:rsidRPr="00C9645F">
        <w:rPr>
          <w:rFonts w:ascii="Trebuchet MS" w:hAnsi="Trebuchet MS"/>
          <w:sz w:val="24"/>
          <w:szCs w:val="24"/>
        </w:rPr>
        <w:t xml:space="preserve">Smallest cities and poorest regions </w:t>
      </w:r>
      <w:proofErr w:type="gramStart"/>
      <w:r w:rsidR="00DB407E" w:rsidRPr="00C9645F">
        <w:rPr>
          <w:rFonts w:ascii="Trebuchet MS" w:hAnsi="Trebuchet MS"/>
          <w:sz w:val="24"/>
          <w:szCs w:val="24"/>
        </w:rPr>
        <w:t>are mostly affected</w:t>
      </w:r>
      <w:proofErr w:type="gramEnd"/>
      <w:r w:rsidR="00DB407E" w:rsidRPr="00C9645F">
        <w:rPr>
          <w:rFonts w:ascii="Trebuchet MS" w:hAnsi="Trebuchet MS"/>
          <w:sz w:val="24"/>
          <w:szCs w:val="24"/>
        </w:rPr>
        <w:t xml:space="preserve"> by people emigration, losing more of its population than other regions. In 2017 </w:t>
      </w:r>
      <w:r w:rsidR="00EE7584" w:rsidRPr="00C9645F">
        <w:rPr>
          <w:rFonts w:ascii="Trebuchet MS" w:hAnsi="Trebuchet MS"/>
          <w:sz w:val="24"/>
          <w:szCs w:val="24"/>
        </w:rPr>
        <w:t xml:space="preserve">population of </w:t>
      </w:r>
      <w:proofErr w:type="spellStart"/>
      <w:r w:rsidR="00EE7584" w:rsidRPr="00C9645F">
        <w:rPr>
          <w:rFonts w:ascii="Trebuchet MS" w:hAnsi="Trebuchet MS"/>
          <w:sz w:val="24"/>
          <w:szCs w:val="24"/>
        </w:rPr>
        <w:t>Latgale</w:t>
      </w:r>
      <w:proofErr w:type="spellEnd"/>
      <w:r w:rsidR="00EE7584" w:rsidRPr="00C9645F">
        <w:rPr>
          <w:rFonts w:ascii="Trebuchet MS" w:hAnsi="Trebuchet MS"/>
          <w:sz w:val="24"/>
          <w:szCs w:val="24"/>
        </w:rPr>
        <w:t xml:space="preserve"> decreased by 6300 people, which was the largest number of all other regions, but Riga, Capital city of Latvia, lost 1800 people, which was the smallest number. Main destinations for Latvians are Germany, United Kingdom, Ireland and Sweden in Europe, CIS countries like Russia and Ukraine, USA and Canada.</w:t>
      </w:r>
    </w:p>
    <w:p w:rsidR="00EE7584" w:rsidRPr="00C9645F" w:rsidRDefault="00EE7584" w:rsidP="00C9645F">
      <w:pPr>
        <w:jc w:val="center"/>
        <w:rPr>
          <w:rFonts w:ascii="Trebuchet MS" w:hAnsi="Trebuchet MS"/>
          <w:b/>
          <w:sz w:val="28"/>
          <w:szCs w:val="28"/>
        </w:rPr>
      </w:pPr>
      <w:r w:rsidRPr="00C9645F">
        <w:rPr>
          <w:rFonts w:ascii="Trebuchet MS" w:hAnsi="Trebuchet MS"/>
          <w:b/>
          <w:sz w:val="28"/>
          <w:szCs w:val="28"/>
        </w:rPr>
        <w:t>Migration paths in Latvia</w:t>
      </w:r>
    </w:p>
    <w:p w:rsidR="00EE7584" w:rsidRPr="00C9645F" w:rsidRDefault="00EE7584" w:rsidP="00C9645F">
      <w:pPr>
        <w:jc w:val="both"/>
        <w:rPr>
          <w:rFonts w:ascii="Trebuchet MS" w:hAnsi="Trebuchet MS"/>
          <w:sz w:val="24"/>
          <w:szCs w:val="24"/>
        </w:rPr>
      </w:pPr>
      <w:r w:rsidRPr="00C9645F">
        <w:rPr>
          <w:rFonts w:ascii="Trebuchet MS" w:hAnsi="Trebuchet MS"/>
          <w:noProof/>
          <w:sz w:val="24"/>
          <w:szCs w:val="24"/>
          <w:lang w:val="lv-LV" w:eastAsia="lv-LV"/>
        </w:rPr>
        <w:drawing>
          <wp:inline distT="0" distB="0" distL="0" distR="0">
            <wp:extent cx="6152515" cy="2400935"/>
            <wp:effectExtent l="19050" t="0" r="635" b="0"/>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cstate="print"/>
                    <a:stretch>
                      <a:fillRect/>
                    </a:stretch>
                  </pic:blipFill>
                  <pic:spPr>
                    <a:xfrm>
                      <a:off x="0" y="0"/>
                      <a:ext cx="6152515" cy="2400935"/>
                    </a:xfrm>
                    <a:prstGeom prst="rect">
                      <a:avLst/>
                    </a:prstGeom>
                  </pic:spPr>
                </pic:pic>
              </a:graphicData>
            </a:graphic>
          </wp:inline>
        </w:drawing>
      </w:r>
    </w:p>
    <w:p w:rsidR="001A5825" w:rsidRPr="00C9645F" w:rsidRDefault="001A5825" w:rsidP="00C9645F">
      <w:pPr>
        <w:jc w:val="both"/>
        <w:rPr>
          <w:rFonts w:ascii="Trebuchet MS" w:hAnsi="Trebuchet MS"/>
          <w:b/>
          <w:sz w:val="24"/>
          <w:szCs w:val="24"/>
        </w:rPr>
      </w:pPr>
    </w:p>
    <w:p w:rsidR="0015499E" w:rsidRPr="00C9645F" w:rsidRDefault="00E6238D" w:rsidP="00C9645F">
      <w:pPr>
        <w:jc w:val="both"/>
        <w:rPr>
          <w:rFonts w:ascii="Trebuchet MS" w:hAnsi="Trebuchet MS"/>
          <w:b/>
          <w:sz w:val="24"/>
          <w:szCs w:val="24"/>
        </w:rPr>
      </w:pPr>
      <w:r w:rsidRPr="00C9645F">
        <w:rPr>
          <w:rFonts w:ascii="Trebuchet MS" w:hAnsi="Trebuchet MS"/>
          <w:sz w:val="24"/>
          <w:szCs w:val="24"/>
        </w:rPr>
        <w:t xml:space="preserve">Latvia took part in the refugee crisis in 2015, agreeing to admit 531 refugees from Greece and Italy. In 2017, 346 refugees </w:t>
      </w:r>
      <w:proofErr w:type="gramStart"/>
      <w:r w:rsidRPr="00C9645F">
        <w:rPr>
          <w:rFonts w:ascii="Trebuchet MS" w:hAnsi="Trebuchet MS"/>
          <w:sz w:val="24"/>
          <w:szCs w:val="24"/>
        </w:rPr>
        <w:t>were admitted</w:t>
      </w:r>
      <w:proofErr w:type="gramEnd"/>
      <w:r w:rsidR="00D0103B" w:rsidRPr="00C9645F">
        <w:rPr>
          <w:rFonts w:ascii="Trebuchet MS" w:hAnsi="Trebuchet MS"/>
          <w:sz w:val="24"/>
          <w:szCs w:val="24"/>
        </w:rPr>
        <w:t>, but most of them left country.</w:t>
      </w:r>
      <w:r w:rsidR="00D0103B" w:rsidRPr="00C9645F">
        <w:rPr>
          <w:rFonts w:ascii="Arial" w:hAnsi="Arial" w:cs="Arial"/>
          <w:color w:val="2B292A"/>
          <w:sz w:val="24"/>
          <w:szCs w:val="24"/>
          <w:shd w:val="clear" w:color="auto" w:fill="FFFFFF"/>
        </w:rPr>
        <w:t xml:space="preserve"> </w:t>
      </w:r>
      <w:r w:rsidR="00D0103B" w:rsidRPr="00C9645F">
        <w:rPr>
          <w:rFonts w:ascii="Trebuchet MS" w:hAnsi="Trebuchet MS" w:cs="Arial"/>
          <w:sz w:val="24"/>
          <w:szCs w:val="24"/>
          <w:shd w:val="clear" w:color="auto" w:fill="FFFFFF"/>
        </w:rPr>
        <w:t>People with a </w:t>
      </w:r>
      <w:r w:rsidR="00D0103B" w:rsidRPr="00C9645F">
        <w:rPr>
          <w:rStyle w:val="Emphasis"/>
          <w:rFonts w:ascii="Trebuchet MS" w:hAnsi="Trebuchet MS" w:cs="Arial"/>
          <w:sz w:val="24"/>
          <w:szCs w:val="24"/>
          <w:shd w:val="clear" w:color="auto" w:fill="FFFFFF"/>
        </w:rPr>
        <w:t>refugee</w:t>
      </w:r>
      <w:r w:rsidR="00D0103B" w:rsidRPr="00C9645F">
        <w:rPr>
          <w:rFonts w:ascii="Trebuchet MS" w:hAnsi="Trebuchet MS" w:cs="Arial"/>
          <w:sz w:val="24"/>
          <w:szCs w:val="24"/>
          <w:shd w:val="clear" w:color="auto" w:fill="FFFFFF"/>
        </w:rPr>
        <w:t> or </w:t>
      </w:r>
      <w:r w:rsidR="00D0103B" w:rsidRPr="00C9645F">
        <w:rPr>
          <w:rStyle w:val="Emphasis"/>
          <w:rFonts w:ascii="Trebuchet MS" w:hAnsi="Trebuchet MS" w:cs="Arial"/>
          <w:sz w:val="24"/>
          <w:szCs w:val="24"/>
          <w:shd w:val="clear" w:color="auto" w:fill="FFFFFF"/>
        </w:rPr>
        <w:t>alternative</w:t>
      </w:r>
      <w:r w:rsidR="00D0103B" w:rsidRPr="00C9645F">
        <w:rPr>
          <w:rFonts w:ascii="Trebuchet MS" w:hAnsi="Trebuchet MS" w:cs="Arial"/>
          <w:sz w:val="24"/>
          <w:szCs w:val="24"/>
          <w:shd w:val="clear" w:color="auto" w:fill="FFFFFF"/>
        </w:rPr>
        <w:t> status have the same rights and obligations as everyone else, as stipulated in the Latvian Constitution. Latvians, like many other people in Europe, are against admitting refugees, 55% of Latvians think that Latvia should not accept any refugees at all.</w:t>
      </w:r>
    </w:p>
    <w:sectPr w:rsidR="0015499E" w:rsidRPr="00C9645F" w:rsidSect="00C462F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2B"/>
    <w:rsid w:val="000021FE"/>
    <w:rsid w:val="00136F6D"/>
    <w:rsid w:val="00140710"/>
    <w:rsid w:val="0015499E"/>
    <w:rsid w:val="00175A25"/>
    <w:rsid w:val="001A5825"/>
    <w:rsid w:val="001D0DFB"/>
    <w:rsid w:val="001D592B"/>
    <w:rsid w:val="002C1AB0"/>
    <w:rsid w:val="00383B37"/>
    <w:rsid w:val="00385687"/>
    <w:rsid w:val="004F5780"/>
    <w:rsid w:val="006D74E1"/>
    <w:rsid w:val="006E1C86"/>
    <w:rsid w:val="007C7F5F"/>
    <w:rsid w:val="0097296B"/>
    <w:rsid w:val="00AE4254"/>
    <w:rsid w:val="00B3097A"/>
    <w:rsid w:val="00C462FB"/>
    <w:rsid w:val="00C85506"/>
    <w:rsid w:val="00C9645F"/>
    <w:rsid w:val="00D0103B"/>
    <w:rsid w:val="00DB407E"/>
    <w:rsid w:val="00E6238D"/>
    <w:rsid w:val="00ED2621"/>
    <w:rsid w:val="00ED2E1B"/>
    <w:rsid w:val="00EE7584"/>
    <w:rsid w:val="00EF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8BC3"/>
  <w15:docId w15:val="{C59719A3-1E16-4C60-BB89-93D89CB4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FB"/>
  </w:style>
  <w:style w:type="paragraph" w:styleId="Heading1">
    <w:name w:val="heading 1"/>
    <w:basedOn w:val="Normal"/>
    <w:link w:val="Heading1Char"/>
    <w:uiPriority w:val="9"/>
    <w:qFormat/>
    <w:rsid w:val="001A58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103B"/>
    <w:rPr>
      <w:i/>
      <w:iCs/>
    </w:rPr>
  </w:style>
  <w:style w:type="character" w:styleId="Hyperlink">
    <w:name w:val="Hyperlink"/>
    <w:basedOn w:val="DefaultParagraphFont"/>
    <w:uiPriority w:val="99"/>
    <w:semiHidden/>
    <w:unhideWhenUsed/>
    <w:rsid w:val="00D0103B"/>
    <w:rPr>
      <w:color w:val="0000FF"/>
      <w:u w:val="single"/>
    </w:rPr>
  </w:style>
  <w:style w:type="paragraph" w:styleId="BalloonText">
    <w:name w:val="Balloon Text"/>
    <w:basedOn w:val="Normal"/>
    <w:link w:val="BalloonTextChar"/>
    <w:uiPriority w:val="99"/>
    <w:semiHidden/>
    <w:unhideWhenUsed/>
    <w:rsid w:val="0013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6D"/>
    <w:rPr>
      <w:rFonts w:ascii="Tahoma" w:hAnsi="Tahoma" w:cs="Tahoma"/>
      <w:sz w:val="16"/>
      <w:szCs w:val="16"/>
    </w:rPr>
  </w:style>
  <w:style w:type="character" w:customStyle="1" w:styleId="Heading1Char">
    <w:name w:val="Heading 1 Char"/>
    <w:basedOn w:val="DefaultParagraphFont"/>
    <w:link w:val="Heading1"/>
    <w:uiPriority w:val="9"/>
    <w:rsid w:val="001A582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DFA37-E1A0-4B9A-83C8-5C16F8C6CDEC}" type="doc">
      <dgm:prSet loTypeId="urn:diagrams.loki3.com/VaryingWidthList" loCatId="list" qsTypeId="urn:microsoft.com/office/officeart/2005/8/quickstyle/simple1" qsCatId="simple" csTypeId="urn:microsoft.com/office/officeart/2005/8/colors/accent1_2" csCatId="accent1" phldr="1"/>
      <dgm:spPr/>
    </dgm:pt>
    <dgm:pt modelId="{4F02B26D-0FE0-499C-BAF3-AC6DED5B8A55}">
      <dgm:prSet custT="1"/>
      <dgm:spPr/>
      <dgm:t>
        <a:bodyPr/>
        <a:lstStyle/>
        <a:p>
          <a:r>
            <a:rPr lang="lv-LV" sz="1400"/>
            <a:t>R</a:t>
          </a:r>
          <a:r>
            <a:rPr lang="en-GB" sz="1400"/>
            <a:t>aise the employment rate to 75%</a:t>
          </a:r>
          <a:endParaRPr lang="en-US" sz="1400"/>
        </a:p>
      </dgm:t>
    </dgm:pt>
    <dgm:pt modelId="{CE9C433F-7F87-49ED-A4AF-E9D08E55916D}" type="parTrans" cxnId="{67614E7D-0CCC-465C-8F0B-B4261C74F72D}">
      <dgm:prSet/>
      <dgm:spPr/>
      <dgm:t>
        <a:bodyPr/>
        <a:lstStyle/>
        <a:p>
          <a:endParaRPr lang="en-US"/>
        </a:p>
      </dgm:t>
    </dgm:pt>
    <dgm:pt modelId="{1364B34E-E4C0-4316-96A2-D0A54A1F141D}" type="sibTrans" cxnId="{67614E7D-0CCC-465C-8F0B-B4261C74F72D}">
      <dgm:prSet/>
      <dgm:spPr/>
      <dgm:t>
        <a:bodyPr/>
        <a:lstStyle/>
        <a:p>
          <a:endParaRPr lang="en-US"/>
        </a:p>
      </dgm:t>
    </dgm:pt>
    <dgm:pt modelId="{0EAE52D2-E471-4F85-9420-B08E41EB551E}">
      <dgm:prSet custT="1"/>
      <dgm:spPr/>
      <dgm:t>
        <a:bodyPr/>
        <a:lstStyle/>
        <a:p>
          <a:r>
            <a:rPr lang="lv-LV" sz="1400"/>
            <a:t>R</a:t>
          </a:r>
          <a:r>
            <a:rPr lang="en-GB" sz="1400"/>
            <a:t>educe school drop out rates to less than 10%</a:t>
          </a:r>
          <a:endParaRPr lang="en-US" sz="1400"/>
        </a:p>
      </dgm:t>
    </dgm:pt>
    <dgm:pt modelId="{8C416230-7F22-4F75-9203-CC0E254D0F4B}" type="parTrans" cxnId="{3B2B098A-C6E6-4464-B519-A458D4EAFF5F}">
      <dgm:prSet/>
      <dgm:spPr/>
      <dgm:t>
        <a:bodyPr/>
        <a:lstStyle/>
        <a:p>
          <a:endParaRPr lang="en-US"/>
        </a:p>
      </dgm:t>
    </dgm:pt>
    <dgm:pt modelId="{04126912-3081-410D-B5C3-A15A80810FCD}" type="sibTrans" cxnId="{3B2B098A-C6E6-4464-B519-A458D4EAFF5F}">
      <dgm:prSet/>
      <dgm:spPr/>
      <dgm:t>
        <a:bodyPr/>
        <a:lstStyle/>
        <a:p>
          <a:endParaRPr lang="en-US"/>
        </a:p>
      </dgm:t>
    </dgm:pt>
    <dgm:pt modelId="{78F72E2A-834F-4370-AEF3-C3C732F53B0F}">
      <dgm:prSet custT="1"/>
      <dgm:spPr/>
      <dgm:t>
        <a:bodyPr/>
        <a:lstStyle/>
        <a:p>
          <a:r>
            <a:rPr lang="lv-LV" sz="1400"/>
            <a:t>L</a:t>
          </a:r>
          <a:r>
            <a:rPr lang="en-GB" sz="1400"/>
            <a:t>ift 20 million people out of poverty or social exclusion</a:t>
          </a:r>
          <a:endParaRPr lang="en-US" sz="1400"/>
        </a:p>
      </dgm:t>
    </dgm:pt>
    <dgm:pt modelId="{7D5A5F6C-B04C-49C4-BDA9-78A1C28DE9F0}" type="parTrans" cxnId="{9D377240-9D36-4C60-AEAB-8038D91CC2F4}">
      <dgm:prSet/>
      <dgm:spPr/>
      <dgm:t>
        <a:bodyPr/>
        <a:lstStyle/>
        <a:p>
          <a:endParaRPr lang="en-US"/>
        </a:p>
      </dgm:t>
    </dgm:pt>
    <dgm:pt modelId="{D96A1925-28C7-4AD0-A0A8-3A3D2FCE64D4}" type="sibTrans" cxnId="{9D377240-9D36-4C60-AEAB-8038D91CC2F4}">
      <dgm:prSet/>
      <dgm:spPr/>
      <dgm:t>
        <a:bodyPr/>
        <a:lstStyle/>
        <a:p>
          <a:endParaRPr lang="en-US"/>
        </a:p>
      </dgm:t>
    </dgm:pt>
    <dgm:pt modelId="{6B8E2C09-D79B-4B3A-96F7-5188202EB463}" type="pres">
      <dgm:prSet presAssocID="{F78DFA37-E1A0-4B9A-83C8-5C16F8C6CDEC}" presName="Name0" presStyleCnt="0">
        <dgm:presLayoutVars>
          <dgm:resizeHandles/>
        </dgm:presLayoutVars>
      </dgm:prSet>
      <dgm:spPr/>
    </dgm:pt>
    <dgm:pt modelId="{0DAEDD62-5AEF-4A93-BF0D-C7609E5B666F}" type="pres">
      <dgm:prSet presAssocID="{4F02B26D-0FE0-499C-BAF3-AC6DED5B8A55}" presName="text" presStyleLbl="node1" presStyleIdx="0" presStyleCnt="3">
        <dgm:presLayoutVars>
          <dgm:bulletEnabled val="1"/>
        </dgm:presLayoutVars>
      </dgm:prSet>
      <dgm:spPr/>
      <dgm:t>
        <a:bodyPr/>
        <a:lstStyle/>
        <a:p>
          <a:endParaRPr lang="en-US"/>
        </a:p>
      </dgm:t>
    </dgm:pt>
    <dgm:pt modelId="{E640C5D2-CBB1-4393-B5C8-25F3D366D6CC}" type="pres">
      <dgm:prSet presAssocID="{1364B34E-E4C0-4316-96A2-D0A54A1F141D}" presName="space" presStyleCnt="0"/>
      <dgm:spPr/>
    </dgm:pt>
    <dgm:pt modelId="{7F9ACCEE-80D4-485F-91E9-FB3DD3819AF9}" type="pres">
      <dgm:prSet presAssocID="{0EAE52D2-E471-4F85-9420-B08E41EB551E}" presName="text" presStyleLbl="node1" presStyleIdx="1" presStyleCnt="3">
        <dgm:presLayoutVars>
          <dgm:bulletEnabled val="1"/>
        </dgm:presLayoutVars>
      </dgm:prSet>
      <dgm:spPr/>
      <dgm:t>
        <a:bodyPr/>
        <a:lstStyle/>
        <a:p>
          <a:endParaRPr lang="en-US"/>
        </a:p>
      </dgm:t>
    </dgm:pt>
    <dgm:pt modelId="{29195A24-142F-41B4-A09F-4CD82CE06949}" type="pres">
      <dgm:prSet presAssocID="{04126912-3081-410D-B5C3-A15A80810FCD}" presName="space" presStyleCnt="0"/>
      <dgm:spPr/>
    </dgm:pt>
    <dgm:pt modelId="{EC2372EE-216D-4B2B-BEAA-D6053F37ABF1}" type="pres">
      <dgm:prSet presAssocID="{78F72E2A-834F-4370-AEF3-C3C732F53B0F}" presName="text" presStyleLbl="node1" presStyleIdx="2" presStyleCnt="3">
        <dgm:presLayoutVars>
          <dgm:bulletEnabled val="1"/>
        </dgm:presLayoutVars>
      </dgm:prSet>
      <dgm:spPr/>
      <dgm:t>
        <a:bodyPr/>
        <a:lstStyle/>
        <a:p>
          <a:endParaRPr lang="en-US"/>
        </a:p>
      </dgm:t>
    </dgm:pt>
  </dgm:ptLst>
  <dgm:cxnLst>
    <dgm:cxn modelId="{C920AECC-886F-4B41-8BC1-DE4B6F6F7D4E}" type="presOf" srcId="{F78DFA37-E1A0-4B9A-83C8-5C16F8C6CDEC}" destId="{6B8E2C09-D79B-4B3A-96F7-5188202EB463}" srcOrd="0" destOrd="0" presId="urn:diagrams.loki3.com/VaryingWidthList"/>
    <dgm:cxn modelId="{9D377240-9D36-4C60-AEAB-8038D91CC2F4}" srcId="{F78DFA37-E1A0-4B9A-83C8-5C16F8C6CDEC}" destId="{78F72E2A-834F-4370-AEF3-C3C732F53B0F}" srcOrd="2" destOrd="0" parTransId="{7D5A5F6C-B04C-49C4-BDA9-78A1C28DE9F0}" sibTransId="{D96A1925-28C7-4AD0-A0A8-3A3D2FCE64D4}"/>
    <dgm:cxn modelId="{EBB669F6-032E-4401-8E06-50B074CEFCB1}" type="presOf" srcId="{0EAE52D2-E471-4F85-9420-B08E41EB551E}" destId="{7F9ACCEE-80D4-485F-91E9-FB3DD3819AF9}" srcOrd="0" destOrd="0" presId="urn:diagrams.loki3.com/VaryingWidthList"/>
    <dgm:cxn modelId="{67614E7D-0CCC-465C-8F0B-B4261C74F72D}" srcId="{F78DFA37-E1A0-4B9A-83C8-5C16F8C6CDEC}" destId="{4F02B26D-0FE0-499C-BAF3-AC6DED5B8A55}" srcOrd="0" destOrd="0" parTransId="{CE9C433F-7F87-49ED-A4AF-E9D08E55916D}" sibTransId="{1364B34E-E4C0-4316-96A2-D0A54A1F141D}"/>
    <dgm:cxn modelId="{709C6734-51BD-4C08-ACEF-91BD9297164F}" type="presOf" srcId="{4F02B26D-0FE0-499C-BAF3-AC6DED5B8A55}" destId="{0DAEDD62-5AEF-4A93-BF0D-C7609E5B666F}" srcOrd="0" destOrd="0" presId="urn:diagrams.loki3.com/VaryingWidthList"/>
    <dgm:cxn modelId="{0BA5CEC0-7B4C-48D3-9C34-57C52D1D2C39}" type="presOf" srcId="{78F72E2A-834F-4370-AEF3-C3C732F53B0F}" destId="{EC2372EE-216D-4B2B-BEAA-D6053F37ABF1}" srcOrd="0" destOrd="0" presId="urn:diagrams.loki3.com/VaryingWidthList"/>
    <dgm:cxn modelId="{3B2B098A-C6E6-4464-B519-A458D4EAFF5F}" srcId="{F78DFA37-E1A0-4B9A-83C8-5C16F8C6CDEC}" destId="{0EAE52D2-E471-4F85-9420-B08E41EB551E}" srcOrd="1" destOrd="0" parTransId="{8C416230-7F22-4F75-9203-CC0E254D0F4B}" sibTransId="{04126912-3081-410D-B5C3-A15A80810FCD}"/>
    <dgm:cxn modelId="{CFE85800-9CE5-4101-8451-3C47E52895ED}" type="presParOf" srcId="{6B8E2C09-D79B-4B3A-96F7-5188202EB463}" destId="{0DAEDD62-5AEF-4A93-BF0D-C7609E5B666F}" srcOrd="0" destOrd="0" presId="urn:diagrams.loki3.com/VaryingWidthList"/>
    <dgm:cxn modelId="{8D1C968F-6B24-4735-B3A5-32EAE1CD3B5A}" type="presParOf" srcId="{6B8E2C09-D79B-4B3A-96F7-5188202EB463}" destId="{E640C5D2-CBB1-4393-B5C8-25F3D366D6CC}" srcOrd="1" destOrd="0" presId="urn:diagrams.loki3.com/VaryingWidthList"/>
    <dgm:cxn modelId="{6F8F21E0-4F6F-4285-9699-57C0BE1AAECA}" type="presParOf" srcId="{6B8E2C09-D79B-4B3A-96F7-5188202EB463}" destId="{7F9ACCEE-80D4-485F-91E9-FB3DD3819AF9}" srcOrd="2" destOrd="0" presId="urn:diagrams.loki3.com/VaryingWidthList"/>
    <dgm:cxn modelId="{2EE7C76D-7EA9-4A6E-8C6A-1D29ED7558C3}" type="presParOf" srcId="{6B8E2C09-D79B-4B3A-96F7-5188202EB463}" destId="{29195A24-142F-41B4-A09F-4CD82CE06949}" srcOrd="3" destOrd="0" presId="urn:diagrams.loki3.com/VaryingWidthList"/>
    <dgm:cxn modelId="{848EEBF6-431A-4CF4-9960-A3F34DD8520A}" type="presParOf" srcId="{6B8E2C09-D79B-4B3A-96F7-5188202EB463}" destId="{EC2372EE-216D-4B2B-BEAA-D6053F37ABF1}" srcOrd="4" destOrd="0" presId="urn:diagrams.loki3.com/VaryingWidthLis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EDD62-5AEF-4A93-BF0D-C7609E5B666F}">
      <dsp:nvSpPr>
        <dsp:cNvPr id="0" name=""/>
        <dsp:cNvSpPr/>
      </dsp:nvSpPr>
      <dsp:spPr>
        <a:xfrm>
          <a:off x="1540710" y="654"/>
          <a:ext cx="2565000" cy="432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lv-LV" sz="1400" kern="1200"/>
            <a:t>R</a:t>
          </a:r>
          <a:r>
            <a:rPr lang="en-GB" sz="1400" kern="1200"/>
            <a:t>aise the employment rate to 75%</a:t>
          </a:r>
          <a:endParaRPr lang="en-US" sz="1400" kern="1200"/>
        </a:p>
      </dsp:txBody>
      <dsp:txXfrm>
        <a:off x="1540710" y="654"/>
        <a:ext cx="2565000" cy="432196"/>
      </dsp:txXfrm>
    </dsp:sp>
    <dsp:sp modelId="{7F9ACCEE-80D4-485F-91E9-FB3DD3819AF9}">
      <dsp:nvSpPr>
        <dsp:cNvPr id="0" name=""/>
        <dsp:cNvSpPr/>
      </dsp:nvSpPr>
      <dsp:spPr>
        <a:xfrm>
          <a:off x="1113210" y="454461"/>
          <a:ext cx="3420000" cy="432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lv-LV" sz="1400" kern="1200"/>
            <a:t>R</a:t>
          </a:r>
          <a:r>
            <a:rPr lang="en-GB" sz="1400" kern="1200"/>
            <a:t>educe school drop out rates to less than 10%</a:t>
          </a:r>
          <a:endParaRPr lang="en-US" sz="1400" kern="1200"/>
        </a:p>
      </dsp:txBody>
      <dsp:txXfrm>
        <a:off x="1113210" y="454461"/>
        <a:ext cx="3420000" cy="432196"/>
      </dsp:txXfrm>
    </dsp:sp>
    <dsp:sp modelId="{EC2372EE-216D-4B2B-BEAA-D6053F37ABF1}">
      <dsp:nvSpPr>
        <dsp:cNvPr id="0" name=""/>
        <dsp:cNvSpPr/>
      </dsp:nvSpPr>
      <dsp:spPr>
        <a:xfrm>
          <a:off x="798210" y="908268"/>
          <a:ext cx="4050000" cy="432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lv-LV" sz="1400" kern="1200"/>
            <a:t>L</a:t>
          </a:r>
          <a:r>
            <a:rPr lang="en-GB" sz="1400" kern="1200"/>
            <a:t>ift 20 million people out of poverty or social exclusion</a:t>
          </a:r>
          <a:endParaRPr lang="en-US" sz="1400" kern="1200"/>
        </a:p>
      </dsp:txBody>
      <dsp:txXfrm>
        <a:off x="798210" y="908268"/>
        <a:ext cx="4050000" cy="432196"/>
      </dsp:txXfrm>
    </dsp:sp>
  </dsp:spTree>
</dsp:drawing>
</file>

<file path=word/diagrams/layout1.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215B-43A1-4FC7-8CEA-62A11743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2149</Words>
  <Characters>1226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Rudīte Liepiņa</cp:lastModifiedBy>
  <cp:revision>3</cp:revision>
  <dcterms:created xsi:type="dcterms:W3CDTF">2018-04-11T04:50:00Z</dcterms:created>
  <dcterms:modified xsi:type="dcterms:W3CDTF">2018-04-19T09:30:00Z</dcterms:modified>
</cp:coreProperties>
</file>