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5B" w:rsidRPr="009048FE" w:rsidRDefault="000B428A" w:rsidP="009048FE">
      <w:pPr>
        <w:jc w:val="center"/>
        <w:rPr>
          <w:sz w:val="32"/>
        </w:rPr>
      </w:pPr>
      <w:r>
        <w:rPr>
          <w:noProof/>
          <w:lang w:eastAsia="lv-LV"/>
        </w:rPr>
        <w:drawing>
          <wp:anchor distT="0" distB="0" distL="114300" distR="114300" simplePos="0" relativeHeight="251658240" behindDoc="1" locked="0" layoutInCell="1" allowOverlap="1" wp14:anchorId="64BF79B9" wp14:editId="20AD9C81">
            <wp:simplePos x="0" y="0"/>
            <wp:positionH relativeFrom="column">
              <wp:posOffset>91440</wp:posOffset>
            </wp:positionH>
            <wp:positionV relativeFrom="paragraph">
              <wp:posOffset>342265</wp:posOffset>
            </wp:positionV>
            <wp:extent cx="5646420" cy="1341120"/>
            <wp:effectExtent l="38100" t="0" r="11430" b="3048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00C24A5B" w:rsidRPr="009048FE">
        <w:rPr>
          <w:sz w:val="32"/>
        </w:rPr>
        <w:t>The EU is planning to achieve</w:t>
      </w:r>
      <w:r w:rsidR="000725A5">
        <w:rPr>
          <w:sz w:val="32"/>
        </w:rPr>
        <w:t xml:space="preserve"> by 2020, compared to 2010</w:t>
      </w:r>
    </w:p>
    <w:p w:rsidR="009048FE" w:rsidRPr="007850A0" w:rsidRDefault="009048FE" w:rsidP="007850A0">
      <w:pPr>
        <w:jc w:val="right"/>
        <w:rPr>
          <w:color w:val="FFFFFF" w:themeColor="background1"/>
          <w:sz w:val="24"/>
        </w:rPr>
      </w:pPr>
    </w:p>
    <w:p w:rsidR="009048FE" w:rsidRPr="009048FE" w:rsidRDefault="009048FE" w:rsidP="009048FE">
      <w:pPr>
        <w:rPr>
          <w:sz w:val="24"/>
        </w:rPr>
      </w:pPr>
    </w:p>
    <w:p w:rsidR="009048FE" w:rsidRPr="009048FE" w:rsidRDefault="009048FE" w:rsidP="009048FE">
      <w:pPr>
        <w:rPr>
          <w:sz w:val="24"/>
        </w:rPr>
      </w:pPr>
    </w:p>
    <w:p w:rsidR="009048FE" w:rsidRPr="009048FE" w:rsidRDefault="009048FE" w:rsidP="009048FE">
      <w:pPr>
        <w:rPr>
          <w:sz w:val="24"/>
        </w:rPr>
      </w:pPr>
    </w:p>
    <w:p w:rsidR="009048FE" w:rsidRDefault="000B428A" w:rsidP="009048FE">
      <w:pPr>
        <w:rPr>
          <w:sz w:val="24"/>
        </w:rPr>
      </w:pPr>
      <w:r>
        <w:rPr>
          <w:noProof/>
          <w:sz w:val="24"/>
          <w:lang w:eastAsia="lv-LV"/>
        </w:rPr>
        <w:drawing>
          <wp:anchor distT="0" distB="0" distL="114300" distR="114300" simplePos="0" relativeHeight="251659264" behindDoc="0" locked="0" layoutInCell="1" allowOverlap="1" wp14:anchorId="3EFCFDD5" wp14:editId="0AA29A4A">
            <wp:simplePos x="0" y="0"/>
            <wp:positionH relativeFrom="column">
              <wp:posOffset>68580</wp:posOffset>
            </wp:positionH>
            <wp:positionV relativeFrom="paragraph">
              <wp:posOffset>440055</wp:posOffset>
            </wp:positionV>
            <wp:extent cx="5661660" cy="2637155"/>
            <wp:effectExtent l="0" t="0" r="0" b="0"/>
            <wp:wrapSquare wrapText="bothSides"/>
            <wp:docPr id="3" name="Picture 3" descr="C:\Users\mcmcproduction\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cproduction\Downloads\char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660" cy="2637155"/>
                    </a:xfrm>
                    <a:prstGeom prst="rect">
                      <a:avLst/>
                    </a:prstGeom>
                    <a:noFill/>
                    <a:ln>
                      <a:noFill/>
                    </a:ln>
                  </pic:spPr>
                </pic:pic>
              </a:graphicData>
            </a:graphic>
            <wp14:sizeRelH relativeFrom="margin">
              <wp14:pctWidth>0</wp14:pctWidth>
            </wp14:sizeRelH>
          </wp:anchor>
        </w:drawing>
      </w:r>
    </w:p>
    <w:p w:rsidR="000B428A" w:rsidRDefault="000B428A" w:rsidP="000B428A">
      <w:pPr>
        <w:pStyle w:val="ListParagraph"/>
        <w:numPr>
          <w:ilvl w:val="0"/>
          <w:numId w:val="6"/>
        </w:numPr>
        <w:jc w:val="both"/>
        <w:rPr>
          <w:sz w:val="24"/>
        </w:rPr>
      </w:pPr>
      <w:r w:rsidRPr="000B428A">
        <w:rPr>
          <w:sz w:val="24"/>
        </w:rPr>
        <w:t>EU target: 20 % from renewable sources</w:t>
      </w:r>
    </w:p>
    <w:p w:rsidR="009048FE" w:rsidRDefault="000B428A" w:rsidP="000B428A">
      <w:pPr>
        <w:pStyle w:val="ListParagraph"/>
        <w:numPr>
          <w:ilvl w:val="0"/>
          <w:numId w:val="6"/>
        </w:numPr>
        <w:jc w:val="both"/>
        <w:rPr>
          <w:sz w:val="24"/>
        </w:rPr>
      </w:pPr>
      <w:r w:rsidRPr="000B428A">
        <w:rPr>
          <w:sz w:val="24"/>
        </w:rPr>
        <w:t>National target:40%  from renewable sources</w:t>
      </w:r>
    </w:p>
    <w:p w:rsidR="000B428A" w:rsidRDefault="007850A0" w:rsidP="000B428A">
      <w:pPr>
        <w:pStyle w:val="ListParagraph"/>
        <w:ind w:left="1440"/>
        <w:jc w:val="both"/>
        <w:rPr>
          <w:sz w:val="24"/>
        </w:rPr>
      </w:pPr>
      <w:r>
        <w:rPr>
          <w:rFonts w:ascii="Arial" w:hAnsi="Arial" w:cs="Arial"/>
          <w:noProof/>
          <w:color w:val="404040"/>
          <w:sz w:val="24"/>
          <w:szCs w:val="27"/>
          <w:lang w:eastAsia="lv-LV"/>
        </w:rPr>
        <mc:AlternateContent>
          <mc:Choice Requires="wps">
            <w:drawing>
              <wp:anchor distT="0" distB="0" distL="114300" distR="114300" simplePos="0" relativeHeight="251661312" behindDoc="0" locked="0" layoutInCell="1" allowOverlap="1">
                <wp:simplePos x="0" y="0"/>
                <wp:positionH relativeFrom="column">
                  <wp:posOffset>3268980</wp:posOffset>
                </wp:positionH>
                <wp:positionV relativeFrom="paragraph">
                  <wp:posOffset>405130</wp:posOffset>
                </wp:positionV>
                <wp:extent cx="1348740" cy="175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1348740" cy="175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BD2FE" id="Rectangle 1" o:spid="_x0000_s1026" style="position:absolute;margin-left:257.4pt;margin-top:31.9pt;width:106.2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" fillcolor="white [3212]" strokecolor="white [3212]" strokeweight="1pt"/>
            </w:pict>
          </mc:Fallback>
        </mc:AlternateContent>
      </w:r>
      <w:r w:rsidR="000B428A">
        <w:rPr>
          <w:rFonts w:ascii="Arial" w:hAnsi="Arial" w:cs="Arial"/>
          <w:noProof/>
          <w:color w:val="404040"/>
          <w:sz w:val="24"/>
          <w:szCs w:val="27"/>
          <w:shd w:val="clear" w:color="auto" w:fill="FFFFFF"/>
          <w:lang w:eastAsia="lv-LV"/>
        </w:rPr>
        <w:drawing>
          <wp:anchor distT="0" distB="0" distL="114300" distR="114300" simplePos="0" relativeHeight="251660288" behindDoc="0" locked="0" layoutInCell="1" allowOverlap="1" wp14:anchorId="6977EC4E" wp14:editId="38B15E27">
            <wp:simplePos x="0" y="0"/>
            <wp:positionH relativeFrom="column">
              <wp:posOffset>30480</wp:posOffset>
            </wp:positionH>
            <wp:positionV relativeFrom="paragraph">
              <wp:posOffset>335915</wp:posOffset>
            </wp:positionV>
            <wp:extent cx="5623560" cy="2472690"/>
            <wp:effectExtent l="0" t="0" r="0" b="3810"/>
            <wp:wrapSquare wrapText="bothSides"/>
            <wp:docPr id="5" name="Picture 5" descr="C:\Users\mcmcproduction\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mcproduction\Downloads\chart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3560" cy="2472690"/>
                    </a:xfrm>
                    <a:prstGeom prst="rect">
                      <a:avLst/>
                    </a:prstGeom>
                    <a:noFill/>
                    <a:ln>
                      <a:noFill/>
                    </a:ln>
                  </pic:spPr>
                </pic:pic>
              </a:graphicData>
            </a:graphic>
            <wp14:sizeRelH relativeFrom="margin">
              <wp14:pctWidth>0</wp14:pctWidth>
            </wp14:sizeRelH>
          </wp:anchor>
        </w:drawing>
      </w:r>
    </w:p>
    <w:p w:rsidR="000B428A" w:rsidRPr="000B428A" w:rsidRDefault="000B428A" w:rsidP="000B428A">
      <w:pPr>
        <w:pStyle w:val="ListParagraph"/>
        <w:numPr>
          <w:ilvl w:val="0"/>
          <w:numId w:val="6"/>
        </w:numPr>
        <w:jc w:val="both"/>
        <w:rPr>
          <w:sz w:val="24"/>
        </w:rPr>
      </w:pPr>
      <w:r w:rsidRPr="000B428A">
        <w:rPr>
          <w:sz w:val="24"/>
        </w:rPr>
        <w:t xml:space="preserve">EU target: 20% less </w:t>
      </w:r>
    </w:p>
    <w:p w:rsidR="007850A0" w:rsidRDefault="000B428A" w:rsidP="007850A0">
      <w:pPr>
        <w:pStyle w:val="ListParagraph"/>
        <w:numPr>
          <w:ilvl w:val="0"/>
          <w:numId w:val="6"/>
        </w:numPr>
        <w:jc w:val="both"/>
        <w:rPr>
          <w:sz w:val="24"/>
        </w:rPr>
      </w:pPr>
      <w:r w:rsidRPr="000B428A">
        <w:rPr>
          <w:sz w:val="24"/>
        </w:rPr>
        <w:t>National tar</w:t>
      </w:r>
      <w:r w:rsidR="001A5BC9">
        <w:rPr>
          <w:sz w:val="24"/>
        </w:rPr>
        <w:t>get: 17% more comparered to 1990</w:t>
      </w:r>
      <w:r w:rsidRPr="000B428A">
        <w:rPr>
          <w:sz w:val="24"/>
        </w:rPr>
        <w:t xml:space="preserve"> levels</w:t>
      </w:r>
    </w:p>
    <w:p w:rsidR="00143277" w:rsidRDefault="00143277" w:rsidP="007850A0">
      <w:pPr>
        <w:jc w:val="both"/>
        <w:rPr>
          <w:sz w:val="28"/>
        </w:rPr>
      </w:pPr>
    </w:p>
    <w:p w:rsidR="00143277" w:rsidRDefault="00143277" w:rsidP="007850A0">
      <w:pPr>
        <w:jc w:val="both"/>
        <w:rPr>
          <w:sz w:val="28"/>
        </w:rPr>
      </w:pPr>
    </w:p>
    <w:p w:rsidR="00143277" w:rsidRDefault="00143277" w:rsidP="007850A0">
      <w:pPr>
        <w:jc w:val="both"/>
        <w:rPr>
          <w:sz w:val="28"/>
        </w:rPr>
      </w:pPr>
    </w:p>
    <w:p w:rsidR="000B428A" w:rsidRDefault="007850A0" w:rsidP="007850A0">
      <w:pPr>
        <w:jc w:val="both"/>
        <w:rPr>
          <w:sz w:val="28"/>
        </w:rPr>
      </w:pPr>
      <w:r w:rsidRPr="00143277">
        <w:rPr>
          <w:sz w:val="28"/>
        </w:rPr>
        <w:t>Conclusion</w:t>
      </w:r>
    </w:p>
    <w:p w:rsidR="007850A0" w:rsidRDefault="00C54A13" w:rsidP="007850A0">
      <w:pPr>
        <w:jc w:val="both"/>
        <w:rPr>
          <w:sz w:val="28"/>
        </w:rPr>
      </w:pPr>
      <w:r>
        <w:rPr>
          <w:rFonts w:ascii="Arial" w:hAnsi="Arial" w:cs="Arial"/>
          <w:noProof/>
          <w:color w:val="404040"/>
          <w:sz w:val="24"/>
          <w:szCs w:val="27"/>
          <w:shd w:val="clear" w:color="auto" w:fill="FFFFFF"/>
          <w:lang w:eastAsia="lv-LV"/>
        </w:rPr>
        <w:drawing>
          <wp:inline distT="0" distB="0" distL="0" distR="0" wp14:anchorId="7F21B792" wp14:editId="4B8C67A1">
            <wp:extent cx="6301106" cy="1668780"/>
            <wp:effectExtent l="0" t="0" r="4445" b="7620"/>
            <wp:docPr id="4" name="Picture 4" descr="C:\Users\mcmcproduction\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cproduction\Desktop\Снимо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1123" cy="1671433"/>
                    </a:xfrm>
                    <a:prstGeom prst="rect">
                      <a:avLst/>
                    </a:prstGeom>
                    <a:noFill/>
                    <a:ln>
                      <a:noFill/>
                    </a:ln>
                  </pic:spPr>
                </pic:pic>
              </a:graphicData>
            </a:graphic>
          </wp:inline>
        </w:drawing>
      </w:r>
    </w:p>
    <w:p w:rsidR="00C54A13" w:rsidRPr="00E166C7" w:rsidRDefault="00C54A13" w:rsidP="007850A0">
      <w:pPr>
        <w:jc w:val="both"/>
        <w:rPr>
          <w:rFonts w:cs="Arial"/>
          <w:color w:val="404040"/>
          <w:sz w:val="24"/>
          <w:szCs w:val="27"/>
          <w:shd w:val="clear" w:color="auto" w:fill="FFFFFF"/>
        </w:rPr>
      </w:pPr>
      <w:r w:rsidRPr="00E166C7">
        <w:rPr>
          <w:rFonts w:cs="Arial"/>
          <w:color w:val="404040"/>
          <w:sz w:val="24"/>
          <w:szCs w:val="27"/>
          <w:shd w:val="clear" w:color="auto" w:fill="FFFFFF"/>
        </w:rPr>
        <w:t>52% of energy produced in Latvia comes from hydroelectric power stations</w:t>
      </w:r>
    </w:p>
    <w:p w:rsidR="00C54A13" w:rsidRPr="00E166C7" w:rsidRDefault="00C54A13" w:rsidP="007850A0">
      <w:pPr>
        <w:jc w:val="both"/>
        <w:rPr>
          <w:rFonts w:cs="Arial"/>
          <w:color w:val="404040"/>
          <w:sz w:val="24"/>
          <w:szCs w:val="27"/>
          <w:shd w:val="clear" w:color="auto" w:fill="FFFFFF"/>
        </w:rPr>
      </w:pPr>
    </w:p>
    <w:p w:rsidR="00C54A13" w:rsidRPr="00E166C7" w:rsidRDefault="007850A0" w:rsidP="007850A0">
      <w:pPr>
        <w:jc w:val="both"/>
        <w:rPr>
          <w:rFonts w:cs="Arial"/>
          <w:color w:val="404040"/>
          <w:sz w:val="24"/>
          <w:szCs w:val="27"/>
          <w:shd w:val="clear" w:color="auto" w:fill="FFFFFF"/>
        </w:rPr>
      </w:pPr>
      <w:r w:rsidRPr="00E166C7">
        <w:rPr>
          <w:rFonts w:cs="Arial"/>
          <w:color w:val="404040"/>
          <w:sz w:val="24"/>
          <w:szCs w:val="27"/>
          <w:shd w:val="clear" w:color="auto" w:fill="FFFFFF"/>
        </w:rPr>
        <w:t xml:space="preserve">The country’s GHG emissions did not rise notably between 2010 and 2012, staying within the national target to limit emissions increases to 17 % by 2020. Since 2008, Latvia has fulfilled its commitment on primary energy consumption and has steadily moved towards its target of </w:t>
      </w:r>
      <w:r w:rsidRPr="00E166C7">
        <w:rPr>
          <w:rFonts w:cs="Arial"/>
          <w:b/>
          <w:color w:val="404040"/>
          <w:sz w:val="24"/>
          <w:szCs w:val="27"/>
          <w:shd w:val="clear" w:color="auto" w:fill="FFFFFF"/>
        </w:rPr>
        <w:t>40 % renewable energy</w:t>
      </w:r>
      <w:r w:rsidRPr="00E166C7">
        <w:rPr>
          <w:rFonts w:cs="Arial"/>
          <w:color w:val="404040"/>
          <w:sz w:val="24"/>
          <w:szCs w:val="27"/>
          <w:shd w:val="clear" w:color="auto" w:fill="FFFFFF"/>
        </w:rPr>
        <w:t xml:space="preserve"> in gross final energy consumption; this is the </w:t>
      </w:r>
      <w:r w:rsidRPr="00E166C7">
        <w:rPr>
          <w:rFonts w:cs="Arial"/>
          <w:b/>
          <w:color w:val="404040"/>
          <w:sz w:val="24"/>
          <w:szCs w:val="27"/>
          <w:shd w:val="clear" w:color="auto" w:fill="FFFFFF"/>
        </w:rPr>
        <w:t>second</w:t>
      </w:r>
      <w:r w:rsidRPr="00E166C7">
        <w:rPr>
          <w:rFonts w:cs="Arial"/>
          <w:color w:val="404040"/>
          <w:sz w:val="24"/>
          <w:szCs w:val="27"/>
          <w:shd w:val="clear" w:color="auto" w:fill="FFFFFF"/>
        </w:rPr>
        <w:t xml:space="preserve"> most ambitious target for this indicator in the EU.</w:t>
      </w:r>
    </w:p>
    <w:p w:rsidR="001A5BC9" w:rsidRPr="00E166C7" w:rsidRDefault="001A5BC9" w:rsidP="007850A0">
      <w:pPr>
        <w:jc w:val="both"/>
        <w:rPr>
          <w:rFonts w:cs="Arial"/>
          <w:color w:val="404040"/>
          <w:sz w:val="24"/>
          <w:szCs w:val="27"/>
          <w:shd w:val="clear" w:color="auto" w:fill="FFFFFF"/>
        </w:rPr>
      </w:pPr>
      <w:r w:rsidRPr="00E166C7">
        <w:rPr>
          <w:rFonts w:cs="Arial"/>
          <w:color w:val="404040"/>
          <w:sz w:val="24"/>
          <w:szCs w:val="27"/>
          <w:shd w:val="clear" w:color="auto" w:fill="FFFFFF"/>
        </w:rPr>
        <w:t>The construction of new large HPPs is not planed in Latvia. For this reason, any increase in electric capacity is possible if increasing the capacity of biomass, wind and biogas RES plants.</w:t>
      </w:r>
      <w:r w:rsidR="00C54A13" w:rsidRPr="00E166C7">
        <w:rPr>
          <w:rFonts w:cs="Arial"/>
          <w:color w:val="404040"/>
          <w:sz w:val="24"/>
          <w:szCs w:val="27"/>
          <w:shd w:val="clear" w:color="auto" w:fill="FFFFFF"/>
        </w:rPr>
        <w:t xml:space="preserve"> </w:t>
      </w:r>
    </w:p>
    <w:p w:rsidR="00143277" w:rsidRDefault="00143277" w:rsidP="007850A0">
      <w:pPr>
        <w:jc w:val="both"/>
        <w:rPr>
          <w:rFonts w:ascii="Arial" w:hAnsi="Arial" w:cs="Arial"/>
          <w:color w:val="404040"/>
          <w:sz w:val="24"/>
          <w:szCs w:val="27"/>
          <w:shd w:val="clear" w:color="auto" w:fill="FFFFFF"/>
        </w:rPr>
      </w:pPr>
    </w:p>
    <w:p w:rsidR="00143277" w:rsidRDefault="00143277" w:rsidP="007850A0">
      <w:pPr>
        <w:jc w:val="both"/>
        <w:rPr>
          <w:rFonts w:ascii="Arial" w:hAnsi="Arial" w:cs="Arial"/>
          <w:color w:val="404040"/>
          <w:sz w:val="24"/>
          <w:szCs w:val="27"/>
          <w:shd w:val="clear" w:color="auto" w:fill="FFFFFF"/>
        </w:rPr>
      </w:pPr>
    </w:p>
    <w:p w:rsidR="00143277" w:rsidRPr="00143277" w:rsidRDefault="00143277" w:rsidP="00143277">
      <w:pPr>
        <w:jc w:val="both"/>
        <w:rPr>
          <w:rFonts w:cs="Arial"/>
          <w:color w:val="404040"/>
          <w:sz w:val="28"/>
          <w:szCs w:val="27"/>
          <w:shd w:val="clear" w:color="auto" w:fill="FFFFFF"/>
        </w:rPr>
      </w:pPr>
      <w:r w:rsidRPr="00143277">
        <w:rPr>
          <w:rFonts w:cs="Arial"/>
          <w:color w:val="404040"/>
          <w:sz w:val="28"/>
          <w:szCs w:val="27"/>
          <w:shd w:val="clear" w:color="auto" w:fill="FFFFFF"/>
        </w:rPr>
        <w:t>Key policy directions and measures for achievement of the target to limit GHG emissions:</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 xml:space="preserve">Limitation of non-ETS sector emissions </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The aim is to reduce GHG emissions in the non-ETS sectors – small-size energy</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production, small industry, transport, agriculture, house</w:t>
      </w:r>
      <w:r>
        <w:rPr>
          <w:rFonts w:cs="Arial"/>
          <w:color w:val="404040"/>
          <w:sz w:val="24"/>
          <w:szCs w:val="27"/>
          <w:shd w:val="clear" w:color="auto" w:fill="FFFFFF"/>
        </w:rPr>
        <w:t xml:space="preserve">holds and waste management. The </w:t>
      </w:r>
      <w:r w:rsidRPr="00143277">
        <w:rPr>
          <w:rFonts w:cs="Arial"/>
          <w:color w:val="404040"/>
          <w:sz w:val="24"/>
          <w:szCs w:val="27"/>
          <w:shd w:val="clear" w:color="auto" w:fill="FFFFFF"/>
        </w:rPr>
        <w:t>planned measures:</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 xml:space="preserve">– To foster the use of RES in production of heat and electricity </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 To introduce a sustainable transport system – to foster development of the public</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transportation, use of RES and electricity in the tra</w:t>
      </w:r>
      <w:r>
        <w:rPr>
          <w:rFonts w:cs="Arial"/>
          <w:color w:val="404040"/>
          <w:sz w:val="24"/>
          <w:szCs w:val="27"/>
          <w:shd w:val="clear" w:color="auto" w:fill="FFFFFF"/>
        </w:rPr>
        <w:t xml:space="preserve">nsport sector </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 To increase the energy efficiency in the production and use of heat and electricity</w:t>
      </w:r>
    </w:p>
    <w:p w:rsidR="00143277" w:rsidRDefault="00143277" w:rsidP="00143277">
      <w:pPr>
        <w:jc w:val="both"/>
        <w:rPr>
          <w:rFonts w:cs="Arial"/>
          <w:color w:val="404040"/>
          <w:sz w:val="28"/>
          <w:szCs w:val="27"/>
          <w:shd w:val="clear" w:color="auto" w:fill="FFFFFF"/>
        </w:rPr>
      </w:pPr>
      <w:r w:rsidRPr="00143277">
        <w:rPr>
          <w:rFonts w:cs="Arial"/>
          <w:color w:val="404040"/>
          <w:sz w:val="28"/>
          <w:szCs w:val="27"/>
          <w:shd w:val="clear" w:color="auto" w:fill="FFFFFF"/>
        </w:rPr>
        <w:lastRenderedPageBreak/>
        <w:t>Research, innovations, public information</w:t>
      </w:r>
    </w:p>
    <w:p w:rsidR="00143277" w:rsidRPr="00143277" w:rsidRDefault="00143277" w:rsidP="00143277">
      <w:pPr>
        <w:jc w:val="both"/>
        <w:rPr>
          <w:rFonts w:cs="Arial"/>
          <w:color w:val="404040"/>
          <w:sz w:val="28"/>
          <w:szCs w:val="27"/>
          <w:shd w:val="clear" w:color="auto" w:fill="FFFFFF"/>
        </w:rPr>
      </w:pPr>
      <w:r w:rsidRPr="00143277">
        <w:rPr>
          <w:rFonts w:cs="Arial"/>
          <w:color w:val="404040"/>
          <w:sz w:val="28"/>
          <w:szCs w:val="27"/>
          <w:shd w:val="clear" w:color="auto" w:fill="FFFFFF"/>
        </w:rPr>
        <w:t xml:space="preserve"> </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The aim is to promote transfer of products and technol</w:t>
      </w:r>
      <w:r>
        <w:rPr>
          <w:rFonts w:cs="Arial"/>
          <w:color w:val="404040"/>
          <w:sz w:val="24"/>
          <w:szCs w:val="27"/>
          <w:shd w:val="clear" w:color="auto" w:fill="FFFFFF"/>
        </w:rPr>
        <w:t xml:space="preserve">ogies reducing GHG emissions in </w:t>
      </w:r>
      <w:r w:rsidRPr="00143277">
        <w:rPr>
          <w:rFonts w:cs="Arial"/>
          <w:color w:val="404040"/>
          <w:sz w:val="24"/>
          <w:szCs w:val="27"/>
          <w:shd w:val="clear" w:color="auto" w:fill="FFFFFF"/>
        </w:rPr>
        <w:t>Latvia, as well as to support measures in order to change public behaviour. The planned</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measures are as follows:</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 Raising of public awareness regarding the importance and possibilities of GHG</w:t>
      </w:r>
    </w:p>
    <w:p w:rsidR="00143277" w:rsidRPr="00143277" w:rsidRDefault="00E166C7" w:rsidP="00143277">
      <w:pPr>
        <w:jc w:val="both"/>
        <w:rPr>
          <w:rFonts w:cs="Arial"/>
          <w:color w:val="404040"/>
          <w:sz w:val="24"/>
          <w:szCs w:val="27"/>
          <w:shd w:val="clear" w:color="auto" w:fill="FFFFFF"/>
        </w:rPr>
      </w:pPr>
      <w:r>
        <w:rPr>
          <w:rFonts w:cs="Arial"/>
          <w:color w:val="404040"/>
          <w:sz w:val="24"/>
          <w:szCs w:val="27"/>
          <w:shd w:val="clear" w:color="auto" w:fill="FFFFFF"/>
        </w:rPr>
        <w:t>emission reduction</w:t>
      </w:r>
      <w:r w:rsidR="00143277" w:rsidRPr="00143277">
        <w:rPr>
          <w:rFonts w:cs="Arial"/>
          <w:color w:val="404040"/>
          <w:sz w:val="24"/>
          <w:szCs w:val="27"/>
          <w:shd w:val="clear" w:color="auto" w:fill="FFFFFF"/>
        </w:rPr>
        <w:t>;</w:t>
      </w:r>
    </w:p>
    <w:p w:rsidR="00143277" w:rsidRPr="00143277" w:rsidRDefault="00143277" w:rsidP="00143277">
      <w:pPr>
        <w:jc w:val="both"/>
        <w:rPr>
          <w:rFonts w:cs="Arial"/>
          <w:color w:val="404040"/>
          <w:sz w:val="24"/>
          <w:szCs w:val="27"/>
          <w:shd w:val="clear" w:color="auto" w:fill="FFFFFF"/>
        </w:rPr>
      </w:pPr>
      <w:r w:rsidRPr="00143277">
        <w:rPr>
          <w:rFonts w:cs="Arial"/>
          <w:color w:val="404040"/>
          <w:sz w:val="24"/>
          <w:szCs w:val="27"/>
          <w:shd w:val="clear" w:color="auto" w:fill="FFFFFF"/>
        </w:rPr>
        <w:t>– Development of technologies reducing GHG emissions, including implementation of</w:t>
      </w:r>
    </w:p>
    <w:p w:rsidR="00143277" w:rsidRPr="00143277" w:rsidRDefault="00143277" w:rsidP="00143277">
      <w:pPr>
        <w:jc w:val="both"/>
        <w:rPr>
          <w:rFonts w:cs="Arial"/>
          <w:color w:val="404040"/>
          <w:sz w:val="24"/>
          <w:szCs w:val="27"/>
          <w:shd w:val="clear" w:color="auto" w:fill="FFFFFF"/>
        </w:rPr>
      </w:pPr>
      <w:r>
        <w:rPr>
          <w:rFonts w:cs="Arial"/>
          <w:color w:val="404040"/>
          <w:sz w:val="24"/>
          <w:szCs w:val="27"/>
          <w:shd w:val="clear" w:color="auto" w:fill="FFFFFF"/>
        </w:rPr>
        <w:t>pilot projects.</w:t>
      </w:r>
    </w:p>
    <w:p w:rsidR="001A5BC9" w:rsidRPr="00143277" w:rsidRDefault="00E166C7" w:rsidP="007850A0">
      <w:pPr>
        <w:jc w:val="both"/>
        <w:rPr>
          <w:rFonts w:cs="Arial"/>
          <w:color w:val="404040"/>
          <w:sz w:val="24"/>
          <w:szCs w:val="27"/>
          <w:shd w:val="clear" w:color="auto" w:fill="FFFFFF"/>
        </w:rPr>
      </w:pPr>
      <w:r>
        <w:rPr>
          <w:rFonts w:cs="Arial"/>
          <w:noProof/>
          <w:color w:val="404040"/>
          <w:sz w:val="24"/>
          <w:szCs w:val="27"/>
          <w:shd w:val="clear" w:color="auto" w:fill="FFFFFF"/>
          <w:lang w:eastAsia="lv-LV"/>
        </w:rPr>
        <w:drawing>
          <wp:anchor distT="0" distB="0" distL="114300" distR="114300" simplePos="0" relativeHeight="251662336" behindDoc="0" locked="0" layoutInCell="1" allowOverlap="1" wp14:anchorId="3DB40CDF" wp14:editId="3F5E96E3">
            <wp:simplePos x="0" y="0"/>
            <wp:positionH relativeFrom="margin">
              <wp:posOffset>-857250</wp:posOffset>
            </wp:positionH>
            <wp:positionV relativeFrom="paragraph">
              <wp:posOffset>226695</wp:posOffset>
            </wp:positionV>
            <wp:extent cx="6995160" cy="1076325"/>
            <wp:effectExtent l="0" t="0" r="0" b="9525"/>
            <wp:wrapSquare wrapText="bothSides"/>
            <wp:docPr id="6" name="Picture 6" descr="C:\Users\mcmcproduction\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cproduction\Desktop\Снимок.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5629" r="10709"/>
                    <a:stretch/>
                  </pic:blipFill>
                  <pic:spPr bwMode="auto">
                    <a:xfrm>
                      <a:off x="0" y="0"/>
                      <a:ext cx="699516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66C7" w:rsidRDefault="00E166C7" w:rsidP="00F15B36">
      <w:pPr>
        <w:jc w:val="both"/>
        <w:rPr>
          <w:rFonts w:cs="Arial"/>
          <w:color w:val="404040"/>
          <w:sz w:val="24"/>
          <w:szCs w:val="27"/>
          <w:shd w:val="clear" w:color="auto" w:fill="FFFFFF"/>
        </w:rPr>
      </w:pPr>
    </w:p>
    <w:p w:rsidR="00E166C7" w:rsidRPr="00E166C7" w:rsidRDefault="00E166C7" w:rsidP="00E166C7">
      <w:pPr>
        <w:ind w:firstLine="720"/>
        <w:jc w:val="both"/>
        <w:rPr>
          <w:rFonts w:cs="Arial"/>
          <w:color w:val="404040"/>
          <w:sz w:val="24"/>
          <w:szCs w:val="27"/>
          <w:shd w:val="clear" w:color="auto" w:fill="FFFFFF"/>
        </w:rPr>
      </w:pPr>
      <w:r w:rsidRPr="00E166C7">
        <w:rPr>
          <w:rFonts w:cs="Arial"/>
          <w:color w:val="404040"/>
          <w:sz w:val="24"/>
          <w:szCs w:val="27"/>
          <w:shd w:val="clear" w:color="auto" w:fill="FFFFFF"/>
        </w:rPr>
        <w:t>The structure of Latvia‟s emissions has several peculiarities that should be taken into consideration when planning further measures of emission limitation. The ETS as an emission reducing mechanism covers only 23% of the GHG emissions of Latvia, which is the second lowest share in the EU. It means that such non-ETS sectors as the small-size energy production, small industry, transport, agriculture, households, waste sector are of key importance in reduction of the overall emissions of Latvia. Moreover, the largest part (62%) of the emission structure of the abovementioned non-ETS sectors is comprised by sources in transport and agriculture that are hard to be influenced. Other non-ETS sectors, where emissions are usually decreased by measures for fuel changes, in Latvia already widely use environmentally friendly fuels – wood and natural gas</w:t>
      </w:r>
      <w:r w:rsidR="00F15B36">
        <w:rPr>
          <w:rFonts w:cs="Arial"/>
          <w:color w:val="404040"/>
          <w:sz w:val="24"/>
          <w:szCs w:val="27"/>
          <w:shd w:val="clear" w:color="auto" w:fill="FFFFFF"/>
        </w:rPr>
        <w:t>.</w:t>
      </w:r>
      <w:bookmarkStart w:id="0" w:name="_GoBack"/>
      <w:bookmarkEnd w:id="0"/>
    </w:p>
    <w:sectPr w:rsidR="00E166C7" w:rsidRPr="00E166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570"/>
    <w:multiLevelType w:val="hybridMultilevel"/>
    <w:tmpl w:val="F83A77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1241126"/>
    <w:multiLevelType w:val="hybridMultilevel"/>
    <w:tmpl w:val="4D58C0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BF7775E"/>
    <w:multiLevelType w:val="hybridMultilevel"/>
    <w:tmpl w:val="FE62A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AA7CDD"/>
    <w:multiLevelType w:val="hybridMultilevel"/>
    <w:tmpl w:val="FAE278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324807"/>
    <w:multiLevelType w:val="hybridMultilevel"/>
    <w:tmpl w:val="09EA9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DA45592"/>
    <w:multiLevelType w:val="hybridMultilevel"/>
    <w:tmpl w:val="22882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DF"/>
    <w:rsid w:val="000725A5"/>
    <w:rsid w:val="000B428A"/>
    <w:rsid w:val="00113FB8"/>
    <w:rsid w:val="00143277"/>
    <w:rsid w:val="001A5BC9"/>
    <w:rsid w:val="00354F0C"/>
    <w:rsid w:val="005B29B8"/>
    <w:rsid w:val="007850A0"/>
    <w:rsid w:val="009048FE"/>
    <w:rsid w:val="00B631DF"/>
    <w:rsid w:val="00C24A5B"/>
    <w:rsid w:val="00C54A13"/>
    <w:rsid w:val="00E166C7"/>
    <w:rsid w:val="00F15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9C16"/>
  <w15:chartTrackingRefBased/>
  <w15:docId w15:val="{179BA950-060C-45B4-86E2-852DFCB8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jpeg"/><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DFA37-E1A0-4B9A-83C8-5C16F8C6CDEC}" type="doc">
      <dgm:prSet loTypeId="urn:diagrams.loki3.com/VaryingWidthList" loCatId="list" qsTypeId="urn:microsoft.com/office/officeart/2005/8/quickstyle/simple1" qsCatId="simple" csTypeId="urn:microsoft.com/office/officeart/2005/8/colors/accent1_2" csCatId="accent1" phldr="1"/>
      <dgm:spPr/>
    </dgm:pt>
    <dgm:pt modelId="{F78A82A8-4CF5-4D41-B963-69F5537ACB98}">
      <dgm:prSet phldrT="[Text]"/>
      <dgm:spPr/>
      <dgm:t>
        <a:bodyPr/>
        <a:lstStyle/>
        <a:p>
          <a:r>
            <a:rPr lang="lv-LV"/>
            <a:t>Greenhouse effect gas emissions to be reduced by 20 %</a:t>
          </a:r>
          <a:endParaRPr lang="en-US"/>
        </a:p>
      </dgm:t>
    </dgm:pt>
    <dgm:pt modelId="{7D24FB1F-63C8-4F8E-BE7F-3CA0AA6ACEDF}" type="parTrans" cxnId="{89D85E51-14D0-4DAE-8813-42D840B83E32}">
      <dgm:prSet/>
      <dgm:spPr/>
      <dgm:t>
        <a:bodyPr/>
        <a:lstStyle/>
        <a:p>
          <a:endParaRPr lang="en-US"/>
        </a:p>
      </dgm:t>
    </dgm:pt>
    <dgm:pt modelId="{77C50BBD-06AF-4CCD-8230-83CB675FAD9B}" type="sibTrans" cxnId="{89D85E51-14D0-4DAE-8813-42D840B83E32}">
      <dgm:prSet/>
      <dgm:spPr/>
      <dgm:t>
        <a:bodyPr/>
        <a:lstStyle/>
        <a:p>
          <a:endParaRPr lang="en-US"/>
        </a:p>
      </dgm:t>
    </dgm:pt>
    <dgm:pt modelId="{632984A7-7D76-4DF2-9806-1E4688112756}">
      <dgm:prSet phldrT="[Text]"/>
      <dgm:spPr/>
      <dgm:t>
        <a:bodyPr/>
        <a:lstStyle/>
        <a:p>
          <a:r>
            <a:rPr lang="lv-LV"/>
            <a:t>20 % of the energy to be gathered from renewable energy sources</a:t>
          </a:r>
          <a:endParaRPr lang="en-US"/>
        </a:p>
      </dgm:t>
    </dgm:pt>
    <dgm:pt modelId="{A0AEEE3D-8502-43D7-913A-67667ECBB2C3}" type="parTrans" cxnId="{CBFCE9B5-E941-45A8-B965-12B7730361CB}">
      <dgm:prSet/>
      <dgm:spPr/>
      <dgm:t>
        <a:bodyPr/>
        <a:lstStyle/>
        <a:p>
          <a:endParaRPr lang="en-US"/>
        </a:p>
      </dgm:t>
    </dgm:pt>
    <dgm:pt modelId="{F9CF75BA-73A3-46F9-8837-9D0F1C4EF464}" type="sibTrans" cxnId="{CBFCE9B5-E941-45A8-B965-12B7730361CB}">
      <dgm:prSet/>
      <dgm:spPr/>
      <dgm:t>
        <a:bodyPr/>
        <a:lstStyle/>
        <a:p>
          <a:endParaRPr lang="en-US"/>
        </a:p>
      </dgm:t>
    </dgm:pt>
    <dgm:pt modelId="{1D9B4ADD-3C4E-4269-8857-734A5772088E}">
      <dgm:prSet phldrT="[Text]"/>
      <dgm:spPr/>
      <dgm:t>
        <a:bodyPr/>
        <a:lstStyle/>
        <a:p>
          <a:r>
            <a:rPr lang="lv-LV"/>
            <a:t>20 % increase in energy efficiency</a:t>
          </a:r>
          <a:endParaRPr lang="en-US"/>
        </a:p>
      </dgm:t>
    </dgm:pt>
    <dgm:pt modelId="{A8FF4073-FF1A-421B-AAB3-DD3DF839C3EE}" type="parTrans" cxnId="{629200B1-F89A-47E5-A2D3-4DE552F4CB9F}">
      <dgm:prSet/>
      <dgm:spPr/>
      <dgm:t>
        <a:bodyPr/>
        <a:lstStyle/>
        <a:p>
          <a:endParaRPr lang="en-US"/>
        </a:p>
      </dgm:t>
    </dgm:pt>
    <dgm:pt modelId="{BE3C4FB3-5325-4FF7-9BBA-3EFC3CC531BB}" type="sibTrans" cxnId="{629200B1-F89A-47E5-A2D3-4DE552F4CB9F}">
      <dgm:prSet/>
      <dgm:spPr/>
      <dgm:t>
        <a:bodyPr/>
        <a:lstStyle/>
        <a:p>
          <a:endParaRPr lang="en-US"/>
        </a:p>
      </dgm:t>
    </dgm:pt>
    <dgm:pt modelId="{6B8E2C09-D79B-4B3A-96F7-5188202EB463}" type="pres">
      <dgm:prSet presAssocID="{F78DFA37-E1A0-4B9A-83C8-5C16F8C6CDEC}" presName="Name0" presStyleCnt="0">
        <dgm:presLayoutVars>
          <dgm:resizeHandles/>
        </dgm:presLayoutVars>
      </dgm:prSet>
      <dgm:spPr/>
    </dgm:pt>
    <dgm:pt modelId="{FC0FFB09-A040-4DA4-A255-6715E58BC0DF}" type="pres">
      <dgm:prSet presAssocID="{F78A82A8-4CF5-4D41-B963-69F5537ACB98}" presName="text" presStyleLbl="node1" presStyleIdx="0" presStyleCnt="3" custScaleX="119030" custLinFactNeighborX="-1830" custLinFactNeighborY="97592">
        <dgm:presLayoutVars>
          <dgm:bulletEnabled val="1"/>
        </dgm:presLayoutVars>
      </dgm:prSet>
      <dgm:spPr/>
      <dgm:t>
        <a:bodyPr/>
        <a:lstStyle/>
        <a:p>
          <a:endParaRPr lang="en-US"/>
        </a:p>
      </dgm:t>
    </dgm:pt>
    <dgm:pt modelId="{91988E1C-483E-4535-BB0E-ACF89B74C3BD}" type="pres">
      <dgm:prSet presAssocID="{77C50BBD-06AF-4CCD-8230-83CB675FAD9B}" presName="space" presStyleCnt="0"/>
      <dgm:spPr/>
    </dgm:pt>
    <dgm:pt modelId="{092CE005-455B-4F16-B308-7D5144068B4C}" type="pres">
      <dgm:prSet presAssocID="{632984A7-7D76-4DF2-9806-1E4688112756}" presName="text" presStyleLbl="node1" presStyleIdx="1" presStyleCnt="3" custLinFactNeighborX="-1667" custLinFactNeighborY="54130">
        <dgm:presLayoutVars>
          <dgm:bulletEnabled val="1"/>
        </dgm:presLayoutVars>
      </dgm:prSet>
      <dgm:spPr/>
      <dgm:t>
        <a:bodyPr/>
        <a:lstStyle/>
        <a:p>
          <a:endParaRPr lang="en-US"/>
        </a:p>
      </dgm:t>
    </dgm:pt>
    <dgm:pt modelId="{492F963E-6B2F-4845-9043-DA347A6DA555}" type="pres">
      <dgm:prSet presAssocID="{F9CF75BA-73A3-46F9-8837-9D0F1C4EF464}" presName="space" presStyleCnt="0"/>
      <dgm:spPr/>
    </dgm:pt>
    <dgm:pt modelId="{B04CAB3B-B499-48F3-9ADE-FA5ACC54B95D}" type="pres">
      <dgm:prSet presAssocID="{1D9B4ADD-3C4E-4269-8857-734A5772088E}" presName="text" presStyleLbl="node1" presStyleIdx="2" presStyleCnt="3" custScaleX="194485" custLinFactNeighborX="-2490" custLinFactNeighborY="62418">
        <dgm:presLayoutVars>
          <dgm:bulletEnabled val="1"/>
        </dgm:presLayoutVars>
      </dgm:prSet>
      <dgm:spPr/>
      <dgm:t>
        <a:bodyPr/>
        <a:lstStyle/>
        <a:p>
          <a:endParaRPr lang="en-US"/>
        </a:p>
      </dgm:t>
    </dgm:pt>
  </dgm:ptLst>
  <dgm:cxnLst>
    <dgm:cxn modelId="{D53AECE2-E570-49F5-B1DC-D6D53A7AA177}" type="presOf" srcId="{F78A82A8-4CF5-4D41-B963-69F5537ACB98}" destId="{FC0FFB09-A040-4DA4-A255-6715E58BC0DF}" srcOrd="0" destOrd="0" presId="urn:diagrams.loki3.com/VaryingWidthList"/>
    <dgm:cxn modelId="{89D85E51-14D0-4DAE-8813-42D840B83E32}" srcId="{F78DFA37-E1A0-4B9A-83C8-5C16F8C6CDEC}" destId="{F78A82A8-4CF5-4D41-B963-69F5537ACB98}" srcOrd="0" destOrd="0" parTransId="{7D24FB1F-63C8-4F8E-BE7F-3CA0AA6ACEDF}" sibTransId="{77C50BBD-06AF-4CCD-8230-83CB675FAD9B}"/>
    <dgm:cxn modelId="{CBFCE9B5-E941-45A8-B965-12B7730361CB}" srcId="{F78DFA37-E1A0-4B9A-83C8-5C16F8C6CDEC}" destId="{632984A7-7D76-4DF2-9806-1E4688112756}" srcOrd="1" destOrd="0" parTransId="{A0AEEE3D-8502-43D7-913A-67667ECBB2C3}" sibTransId="{F9CF75BA-73A3-46F9-8837-9D0F1C4EF464}"/>
    <dgm:cxn modelId="{F9DD8AE8-B6CE-4FCD-91F9-8B1DE9F50638}" type="presOf" srcId="{1D9B4ADD-3C4E-4269-8857-734A5772088E}" destId="{B04CAB3B-B499-48F3-9ADE-FA5ACC54B95D}" srcOrd="0" destOrd="0" presId="urn:diagrams.loki3.com/VaryingWidthList"/>
    <dgm:cxn modelId="{D7E50BFC-21EA-4C1B-B146-4CECC7EDB286}" type="presOf" srcId="{632984A7-7D76-4DF2-9806-1E4688112756}" destId="{092CE005-455B-4F16-B308-7D5144068B4C}" srcOrd="0" destOrd="0" presId="urn:diagrams.loki3.com/VaryingWidthList"/>
    <dgm:cxn modelId="{629200B1-F89A-47E5-A2D3-4DE552F4CB9F}" srcId="{F78DFA37-E1A0-4B9A-83C8-5C16F8C6CDEC}" destId="{1D9B4ADD-3C4E-4269-8857-734A5772088E}" srcOrd="2" destOrd="0" parTransId="{A8FF4073-FF1A-421B-AAB3-DD3DF839C3EE}" sibTransId="{BE3C4FB3-5325-4FF7-9BBA-3EFC3CC531BB}"/>
    <dgm:cxn modelId="{0CE6C852-7293-4A84-BFF3-8D5327DD681A}" type="presOf" srcId="{F78DFA37-E1A0-4B9A-83C8-5C16F8C6CDEC}" destId="{6B8E2C09-D79B-4B3A-96F7-5188202EB463}" srcOrd="0" destOrd="0" presId="urn:diagrams.loki3.com/VaryingWidthList"/>
    <dgm:cxn modelId="{CA3EAE97-E547-4725-8328-2219D81FDB5B}" type="presParOf" srcId="{6B8E2C09-D79B-4B3A-96F7-5188202EB463}" destId="{FC0FFB09-A040-4DA4-A255-6715E58BC0DF}" srcOrd="0" destOrd="0" presId="urn:diagrams.loki3.com/VaryingWidthList"/>
    <dgm:cxn modelId="{A52041F9-527F-4FA9-A6FE-858F75AC1437}" type="presParOf" srcId="{6B8E2C09-D79B-4B3A-96F7-5188202EB463}" destId="{91988E1C-483E-4535-BB0E-ACF89B74C3BD}" srcOrd="1" destOrd="0" presId="urn:diagrams.loki3.com/VaryingWidthList"/>
    <dgm:cxn modelId="{F4A64CDB-6537-45DB-A39D-E696E9D71DBC}" type="presParOf" srcId="{6B8E2C09-D79B-4B3A-96F7-5188202EB463}" destId="{092CE005-455B-4F16-B308-7D5144068B4C}" srcOrd="2" destOrd="0" presId="urn:diagrams.loki3.com/VaryingWidthList"/>
    <dgm:cxn modelId="{F7578E70-3E5B-4E3D-8E80-5EFD9A3F19DF}" type="presParOf" srcId="{6B8E2C09-D79B-4B3A-96F7-5188202EB463}" destId="{492F963E-6B2F-4845-9043-DA347A6DA555}" srcOrd="3" destOrd="0" presId="urn:diagrams.loki3.com/VaryingWidthList"/>
    <dgm:cxn modelId="{56FB20BE-BFCA-4176-92F6-7D21578326DE}" type="presParOf" srcId="{6B8E2C09-D79B-4B3A-96F7-5188202EB463}" destId="{B04CAB3B-B499-48F3-9ADE-FA5ACC54B95D}" srcOrd="4" destOrd="0" presId="urn:diagrams.loki3.com/VaryingWidthLis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FFB09-A040-4DA4-A255-6715E58BC0DF}">
      <dsp:nvSpPr>
        <dsp:cNvPr id="0" name=""/>
        <dsp:cNvSpPr/>
      </dsp:nvSpPr>
      <dsp:spPr>
        <a:xfrm>
          <a:off x="0" y="21744"/>
          <a:ext cx="5570603" cy="432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lv-LV" sz="1600" kern="1200"/>
            <a:t>Greenhouse effect gas emissions to be reduced by 20 %</a:t>
          </a:r>
          <a:endParaRPr lang="en-US" sz="1600" kern="1200"/>
        </a:p>
      </dsp:txBody>
      <dsp:txXfrm>
        <a:off x="0" y="21744"/>
        <a:ext cx="5570603" cy="432196"/>
      </dsp:txXfrm>
    </dsp:sp>
    <dsp:sp modelId="{092CE005-455B-4F16-B308-7D5144068B4C}">
      <dsp:nvSpPr>
        <dsp:cNvPr id="0" name=""/>
        <dsp:cNvSpPr/>
      </dsp:nvSpPr>
      <dsp:spPr>
        <a:xfrm>
          <a:off x="0" y="466158"/>
          <a:ext cx="5580000" cy="432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lv-LV" sz="1600" kern="1200"/>
            <a:t>20 % of the energy to be gathered from renewable energy sources</a:t>
          </a:r>
          <a:endParaRPr lang="en-US" sz="1600" kern="1200"/>
        </a:p>
      </dsp:txBody>
      <dsp:txXfrm>
        <a:off x="0" y="466158"/>
        <a:ext cx="5580000" cy="432196"/>
      </dsp:txXfrm>
    </dsp:sp>
    <dsp:sp modelId="{B04CAB3B-B499-48F3-9ADE-FA5ACC54B95D}">
      <dsp:nvSpPr>
        <dsp:cNvPr id="0" name=""/>
        <dsp:cNvSpPr/>
      </dsp:nvSpPr>
      <dsp:spPr>
        <a:xfrm>
          <a:off x="0" y="908923"/>
          <a:ext cx="5601168" cy="432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lv-LV" sz="1600" kern="1200"/>
            <a:t>20 % increase in energy efficiency</a:t>
          </a:r>
          <a:endParaRPr lang="en-US" sz="1600" kern="1200"/>
        </a:p>
      </dsp:txBody>
      <dsp:txXfrm>
        <a:off x="0" y="908923"/>
        <a:ext cx="5601168" cy="432196"/>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1800</Words>
  <Characters>1027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mcmcproduction</dc:creator>
  <cp:keywords/>
  <dc:description/>
  <cp:lastModifiedBy>Rudīte Liepiņa</cp:lastModifiedBy>
  <cp:revision>3</cp:revision>
  <dcterms:created xsi:type="dcterms:W3CDTF">2018-04-19T09:34:00Z</dcterms:created>
  <dcterms:modified xsi:type="dcterms:W3CDTF">2018-04-19T09:35:00Z</dcterms:modified>
</cp:coreProperties>
</file>